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B13C" w14:textId="77777777" w:rsidR="00CD6B43" w:rsidRPr="00FC22AA" w:rsidRDefault="00CD6B43" w:rsidP="00CD6B43">
      <w:pPr>
        <w:spacing w:after="0" w:line="240" w:lineRule="auto"/>
        <w:jc w:val="center"/>
        <w:rPr>
          <w:b/>
          <w:bCs/>
          <w:color w:val="00B0F0"/>
          <w:sz w:val="36"/>
          <w:szCs w:val="36"/>
          <w:u w:val="single"/>
          <w:lang w:val="en-GB"/>
        </w:rPr>
      </w:pPr>
      <w:r w:rsidRPr="00FC22AA">
        <w:rPr>
          <w:b/>
          <w:bCs/>
          <w:color w:val="00B0F0"/>
          <w:sz w:val="36"/>
          <w:szCs w:val="36"/>
          <w:u w:val="single"/>
          <w:lang w:val="en-GB"/>
        </w:rPr>
        <w:t>ERCROS ANNUAL RESULTS NOTE</w:t>
      </w:r>
    </w:p>
    <w:p w14:paraId="63EE910E" w14:textId="663E2921" w:rsidR="00343C5C" w:rsidRPr="00FC22AA" w:rsidRDefault="00CD6B43" w:rsidP="00CD6B43">
      <w:pPr>
        <w:spacing w:after="0" w:line="240" w:lineRule="auto"/>
        <w:jc w:val="center"/>
        <w:rPr>
          <w:b/>
          <w:bCs/>
          <w:color w:val="00B0F0"/>
          <w:sz w:val="16"/>
          <w:szCs w:val="16"/>
          <w:u w:val="single"/>
          <w:lang w:val="en-GB"/>
        </w:rPr>
      </w:pPr>
      <w:r w:rsidRPr="00FC22AA">
        <w:rPr>
          <w:b/>
          <w:bCs/>
          <w:color w:val="00B0F0"/>
          <w:sz w:val="36"/>
          <w:szCs w:val="36"/>
          <w:u w:val="single"/>
          <w:lang w:val="en-GB"/>
        </w:rPr>
        <w:t>FISCAL YEAR 2025</w:t>
      </w:r>
    </w:p>
    <w:p w14:paraId="5607C791" w14:textId="77777777" w:rsidR="00042082" w:rsidRPr="00FC22AA" w:rsidRDefault="00042082" w:rsidP="006161E5">
      <w:pPr>
        <w:spacing w:after="0" w:line="240" w:lineRule="auto"/>
        <w:jc w:val="center"/>
        <w:rPr>
          <w:b/>
          <w:bCs/>
          <w:color w:val="00B0F0"/>
          <w:sz w:val="28"/>
          <w:szCs w:val="28"/>
          <w:lang w:val="en-GB"/>
        </w:rPr>
      </w:pPr>
    </w:p>
    <w:p w14:paraId="7CB646C9" w14:textId="6474204B" w:rsidR="006161E5" w:rsidRPr="00FC22AA" w:rsidRDefault="00343C5C" w:rsidP="006161E5">
      <w:pPr>
        <w:spacing w:after="0" w:line="240" w:lineRule="auto"/>
        <w:jc w:val="center"/>
        <w:rPr>
          <w:b/>
          <w:bCs/>
          <w:color w:val="00B0F0"/>
          <w:sz w:val="28"/>
          <w:szCs w:val="28"/>
          <w:lang w:val="en-GB"/>
        </w:rPr>
      </w:pPr>
      <w:r w:rsidRPr="00FC22AA">
        <w:rPr>
          <w:b/>
          <w:bCs/>
          <w:color w:val="00B0F0"/>
          <w:sz w:val="28"/>
          <w:szCs w:val="28"/>
          <w:lang w:val="en-GB"/>
        </w:rPr>
        <w:t>(</w:t>
      </w:r>
      <w:r w:rsidR="00183B11" w:rsidRPr="00FC22AA">
        <w:rPr>
          <w:b/>
          <w:bCs/>
          <w:color w:val="00B0F0"/>
          <w:sz w:val="28"/>
          <w:szCs w:val="28"/>
          <w:lang w:val="en-GB"/>
        </w:rPr>
        <w:t>27</w:t>
      </w:r>
      <w:r w:rsidR="00D76861" w:rsidRPr="00FC22AA">
        <w:rPr>
          <w:b/>
          <w:bCs/>
          <w:color w:val="00B0F0"/>
          <w:sz w:val="28"/>
          <w:szCs w:val="28"/>
          <w:lang w:val="en-GB"/>
        </w:rPr>
        <w:t>-</w:t>
      </w:r>
      <w:r w:rsidR="00183B11" w:rsidRPr="00FC22AA">
        <w:rPr>
          <w:b/>
          <w:bCs/>
          <w:color w:val="00B0F0"/>
          <w:sz w:val="28"/>
          <w:szCs w:val="28"/>
          <w:lang w:val="en-GB"/>
        </w:rPr>
        <w:t>02</w:t>
      </w:r>
      <w:r w:rsidR="00D76861" w:rsidRPr="00FC22AA">
        <w:rPr>
          <w:b/>
          <w:bCs/>
          <w:color w:val="00B0F0"/>
          <w:sz w:val="28"/>
          <w:szCs w:val="28"/>
          <w:lang w:val="en-GB"/>
        </w:rPr>
        <w:t>-</w:t>
      </w:r>
      <w:r w:rsidR="00183B11" w:rsidRPr="00FC22AA">
        <w:rPr>
          <w:b/>
          <w:bCs/>
          <w:color w:val="00B0F0"/>
          <w:sz w:val="28"/>
          <w:szCs w:val="28"/>
          <w:lang w:val="en-GB"/>
        </w:rPr>
        <w:t>2026</w:t>
      </w:r>
      <w:r w:rsidRPr="00FC22AA">
        <w:rPr>
          <w:b/>
          <w:bCs/>
          <w:color w:val="00B0F0"/>
          <w:sz w:val="28"/>
          <w:szCs w:val="28"/>
          <w:lang w:val="en-GB"/>
        </w:rPr>
        <w:t>)</w:t>
      </w:r>
    </w:p>
    <w:p w14:paraId="269AF2B8" w14:textId="5CD4CB47" w:rsidR="00343C5C" w:rsidRPr="00FC22AA" w:rsidRDefault="0099595C" w:rsidP="00953472">
      <w:pPr>
        <w:spacing w:after="0" w:line="240" w:lineRule="auto"/>
        <w:jc w:val="center"/>
        <w:rPr>
          <w:b/>
          <w:bCs/>
          <w:sz w:val="18"/>
          <w:szCs w:val="18"/>
          <w:u w:val="single"/>
          <w:lang w:val="en-GB"/>
        </w:rPr>
      </w:pPr>
      <w:r w:rsidRPr="00FC22AA">
        <w:rPr>
          <w:noProof/>
          <w:lang w:val="en-GB" w:eastAsia="es-ES"/>
        </w:rPr>
        <mc:AlternateContent>
          <mc:Choice Requires="wps">
            <w:drawing>
              <wp:anchor distT="0" distB="0" distL="114300" distR="114300" simplePos="0" relativeHeight="251653120" behindDoc="0" locked="0" layoutInCell="1" allowOverlap="1" wp14:anchorId="280131F6" wp14:editId="546A0D7E">
                <wp:simplePos x="0" y="0"/>
                <wp:positionH relativeFrom="column">
                  <wp:posOffset>-193870</wp:posOffset>
                </wp:positionH>
                <wp:positionV relativeFrom="paragraph">
                  <wp:posOffset>107851</wp:posOffset>
                </wp:positionV>
                <wp:extent cx="6024562" cy="7645791"/>
                <wp:effectExtent l="0" t="0" r="14605" b="1270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562" cy="764579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C11847" id="Rectángulo 2" o:spid="_x0000_s1026" style="position:absolute;margin-left:-15.25pt;margin-top:8.5pt;width:474.35pt;height:60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" filled="f" strokecolor="#1f3763 [1604]" strokeweight="1pt">
                <v:path arrowok="t"/>
              </v:rect>
            </w:pict>
          </mc:Fallback>
        </mc:AlternateContent>
      </w:r>
    </w:p>
    <w:p w14:paraId="41501C14" w14:textId="1E3E732A" w:rsidR="00343C5C" w:rsidRPr="00FC22AA" w:rsidRDefault="00343C5C" w:rsidP="00953472">
      <w:pPr>
        <w:spacing w:after="0" w:line="240" w:lineRule="auto"/>
        <w:jc w:val="center"/>
        <w:rPr>
          <w:b/>
          <w:bCs/>
          <w:color w:val="000000" w:themeColor="text1"/>
          <w:u w:val="single"/>
          <w:lang w:val="en-GB"/>
        </w:rPr>
      </w:pPr>
    </w:p>
    <w:p w14:paraId="426C9D12" w14:textId="79A50E1A" w:rsidR="006A61D4" w:rsidRPr="00FC22AA" w:rsidRDefault="00CD6B43" w:rsidP="006A61D4">
      <w:pPr>
        <w:pStyle w:val="Default"/>
        <w:jc w:val="center"/>
        <w:rPr>
          <w:b/>
          <w:bCs/>
          <w:color w:val="00B0F0"/>
          <w:sz w:val="28"/>
          <w:szCs w:val="28"/>
          <w:lang w:val="en-GB"/>
        </w:rPr>
      </w:pPr>
      <w:r w:rsidRPr="00FC22AA">
        <w:rPr>
          <w:b/>
          <w:bCs/>
          <w:color w:val="00B0F0"/>
          <w:sz w:val="28"/>
          <w:szCs w:val="28"/>
          <w:lang w:val="en-GB"/>
        </w:rPr>
        <w:t xml:space="preserve">Ercros earns </w:t>
      </w:r>
      <w:r w:rsidR="0050405E" w:rsidRPr="00FC22AA">
        <w:rPr>
          <w:b/>
          <w:bCs/>
          <w:color w:val="00B0F0"/>
          <w:sz w:val="28"/>
          <w:szCs w:val="28"/>
          <w:lang w:val="en-GB"/>
        </w:rPr>
        <w:t xml:space="preserve">EUR </w:t>
      </w:r>
      <w:r w:rsidRPr="00FC22AA">
        <w:rPr>
          <w:b/>
          <w:bCs/>
          <w:color w:val="00B0F0"/>
          <w:sz w:val="28"/>
          <w:szCs w:val="28"/>
          <w:lang w:val="en-GB"/>
        </w:rPr>
        <w:t xml:space="preserve">8 million in ebitda and records losses of </w:t>
      </w:r>
      <w:r w:rsidR="0050405E" w:rsidRPr="00FC22AA">
        <w:rPr>
          <w:b/>
          <w:bCs/>
          <w:color w:val="00B0F0"/>
          <w:sz w:val="28"/>
          <w:szCs w:val="28"/>
          <w:lang w:val="en-GB"/>
        </w:rPr>
        <w:t xml:space="preserve">EUR </w:t>
      </w:r>
      <w:r w:rsidRPr="00FC22AA">
        <w:rPr>
          <w:b/>
          <w:bCs/>
          <w:color w:val="00B0F0"/>
          <w:sz w:val="28"/>
          <w:szCs w:val="28"/>
          <w:lang w:val="en-GB"/>
        </w:rPr>
        <w:t>54 million</w:t>
      </w:r>
    </w:p>
    <w:p w14:paraId="43991602" w14:textId="77777777" w:rsidR="00CD6B43" w:rsidRPr="00FC22AA" w:rsidRDefault="00CD6B43" w:rsidP="006A61D4">
      <w:pPr>
        <w:pStyle w:val="Default"/>
        <w:jc w:val="center"/>
        <w:rPr>
          <w:color w:val="000000" w:themeColor="text1"/>
          <w:sz w:val="16"/>
          <w:szCs w:val="16"/>
          <w:lang w:val="en-GB"/>
        </w:rPr>
      </w:pPr>
    </w:p>
    <w:p w14:paraId="3444EA00" w14:textId="753354B3" w:rsidR="0050405E" w:rsidRPr="00FC22AA" w:rsidRDefault="00FE510E" w:rsidP="0050405E">
      <w:pPr>
        <w:pStyle w:val="Default"/>
        <w:ind w:left="426" w:hanging="426"/>
        <w:jc w:val="both"/>
        <w:rPr>
          <w:b/>
          <w:bCs/>
          <w:color w:val="000000" w:themeColor="text1"/>
          <w:sz w:val="22"/>
          <w:szCs w:val="22"/>
          <w:lang w:val="en-GB"/>
        </w:rPr>
      </w:pPr>
      <w:bookmarkStart w:id="0" w:name="_Hlk77099774"/>
      <w:r w:rsidRPr="00FC22AA">
        <w:rPr>
          <w:color w:val="000000" w:themeColor="text1"/>
          <w:sz w:val="22"/>
          <w:szCs w:val="22"/>
          <w:lang w:val="en-GB"/>
        </w:rPr>
        <w:t>•</w:t>
      </w:r>
      <w:bookmarkEnd w:id="0"/>
      <w:r w:rsidR="00633179" w:rsidRPr="00FC22AA">
        <w:rPr>
          <w:color w:val="000000" w:themeColor="text1"/>
          <w:sz w:val="22"/>
          <w:szCs w:val="22"/>
          <w:lang w:val="en-GB"/>
        </w:rPr>
        <w:tab/>
      </w:r>
      <w:r w:rsidR="0050405E" w:rsidRPr="00FC22AA">
        <w:rPr>
          <w:b/>
          <w:bCs/>
          <w:color w:val="000000" w:themeColor="text1"/>
          <w:sz w:val="22"/>
          <w:szCs w:val="22"/>
          <w:lang w:val="en-GB"/>
        </w:rPr>
        <w:t xml:space="preserve">In the 2025 financial year, Ercros </w:t>
      </w:r>
      <w:r w:rsidR="007E4ACA" w:rsidRPr="005A4FDF">
        <w:rPr>
          <w:b/>
          <w:bCs/>
          <w:color w:val="000000" w:themeColor="text1"/>
          <w:sz w:val="22"/>
          <w:szCs w:val="22"/>
          <w:lang w:val="en-GB"/>
        </w:rPr>
        <w:t xml:space="preserve">has </w:t>
      </w:r>
      <w:r w:rsidR="0050405E" w:rsidRPr="00FC22AA">
        <w:rPr>
          <w:b/>
          <w:bCs/>
          <w:color w:val="000000" w:themeColor="text1"/>
          <w:sz w:val="22"/>
          <w:szCs w:val="22"/>
          <w:lang w:val="en-GB"/>
        </w:rPr>
        <w:t>achieved a contribution of EUR 198 million, an adjusted ebitda of EUR 8 million, and record</w:t>
      </w:r>
      <w:r w:rsidR="007E4ACA" w:rsidRPr="00FC22AA">
        <w:rPr>
          <w:b/>
          <w:bCs/>
          <w:color w:val="000000" w:themeColor="text1"/>
          <w:sz w:val="22"/>
          <w:szCs w:val="22"/>
          <w:lang w:val="en-GB"/>
        </w:rPr>
        <w:t>s</w:t>
      </w:r>
      <w:r w:rsidR="0050405E" w:rsidRPr="00FC22AA">
        <w:rPr>
          <w:b/>
          <w:bCs/>
          <w:color w:val="000000" w:themeColor="text1"/>
          <w:sz w:val="22"/>
          <w:szCs w:val="22"/>
          <w:lang w:val="en-GB"/>
        </w:rPr>
        <w:t xml:space="preserve"> losses of EUR 54 million.</w:t>
      </w:r>
    </w:p>
    <w:p w14:paraId="56422BEB" w14:textId="77777777" w:rsidR="0050405E" w:rsidRPr="00FC22AA" w:rsidRDefault="0050405E" w:rsidP="0050405E">
      <w:pPr>
        <w:pStyle w:val="Default"/>
        <w:ind w:left="426" w:hanging="426"/>
        <w:jc w:val="both"/>
        <w:rPr>
          <w:b/>
          <w:bCs/>
          <w:color w:val="000000" w:themeColor="text1"/>
          <w:sz w:val="22"/>
          <w:szCs w:val="22"/>
          <w:lang w:val="en-GB"/>
        </w:rPr>
      </w:pPr>
    </w:p>
    <w:p w14:paraId="439BABDD" w14:textId="4D45604C" w:rsidR="0050405E" w:rsidRPr="00FC22AA" w:rsidRDefault="0050405E"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 xml:space="preserve">Ercros, like other chemical companies in Europe, </w:t>
      </w:r>
      <w:r w:rsidR="007E4ACA" w:rsidRPr="00FC22AA">
        <w:rPr>
          <w:b/>
          <w:bCs/>
          <w:color w:val="000000" w:themeColor="text1"/>
          <w:sz w:val="22"/>
          <w:szCs w:val="22"/>
          <w:lang w:val="en-GB"/>
        </w:rPr>
        <w:t xml:space="preserve">continues </w:t>
      </w:r>
      <w:r w:rsidRPr="00FC22AA">
        <w:rPr>
          <w:b/>
          <w:bCs/>
          <w:color w:val="000000" w:themeColor="text1"/>
          <w:sz w:val="22"/>
          <w:szCs w:val="22"/>
          <w:lang w:val="en-GB"/>
        </w:rPr>
        <w:t xml:space="preserve">to be negatively affected by persistently weak demand, high energy costs, and strong competition from non-EU countries. In addition, the tariff war initiated by the United States </w:t>
      </w:r>
      <w:r w:rsidR="007E4ACA" w:rsidRPr="00FC22AA">
        <w:rPr>
          <w:b/>
          <w:bCs/>
          <w:color w:val="000000" w:themeColor="text1"/>
          <w:sz w:val="22"/>
          <w:szCs w:val="22"/>
          <w:lang w:val="en-GB"/>
        </w:rPr>
        <w:t xml:space="preserve">has </w:t>
      </w:r>
      <w:r w:rsidRPr="00FC22AA">
        <w:rPr>
          <w:b/>
          <w:bCs/>
          <w:color w:val="000000" w:themeColor="text1"/>
          <w:sz w:val="22"/>
          <w:szCs w:val="22"/>
          <w:lang w:val="en-GB"/>
        </w:rPr>
        <w:t>increased the presence of Asian products in Europe, further hindering the recovery of European economic activity.</w:t>
      </w:r>
    </w:p>
    <w:p w14:paraId="667FC79D" w14:textId="77777777" w:rsidR="0050405E" w:rsidRPr="00FC22AA" w:rsidRDefault="0050405E" w:rsidP="0050405E">
      <w:pPr>
        <w:pStyle w:val="Default"/>
        <w:ind w:left="425" w:hanging="425"/>
        <w:jc w:val="both"/>
        <w:rPr>
          <w:b/>
          <w:bCs/>
          <w:color w:val="000000" w:themeColor="text1"/>
          <w:sz w:val="22"/>
          <w:szCs w:val="22"/>
          <w:lang w:val="en-GB"/>
        </w:rPr>
      </w:pPr>
    </w:p>
    <w:p w14:paraId="4F19B0E5" w14:textId="77777777" w:rsidR="0050405E" w:rsidRPr="00FC22AA" w:rsidRDefault="0050405E" w:rsidP="0050405E">
      <w:pPr>
        <w:pStyle w:val="Default"/>
        <w:numPr>
          <w:ilvl w:val="0"/>
          <w:numId w:val="32"/>
        </w:numPr>
        <w:ind w:left="425" w:hanging="425"/>
        <w:jc w:val="both"/>
        <w:rPr>
          <w:b/>
          <w:bCs/>
          <w:color w:val="000000" w:themeColor="text1"/>
          <w:sz w:val="22"/>
          <w:szCs w:val="22"/>
          <w:lang w:val="en-GB"/>
        </w:rPr>
      </w:pPr>
      <w:proofErr w:type="gramStart"/>
      <w:r w:rsidRPr="00FC22AA">
        <w:rPr>
          <w:b/>
          <w:bCs/>
          <w:color w:val="000000" w:themeColor="text1"/>
          <w:sz w:val="22"/>
          <w:szCs w:val="22"/>
          <w:lang w:val="en-GB"/>
        </w:rPr>
        <w:t>As long as</w:t>
      </w:r>
      <w:proofErr w:type="gramEnd"/>
      <w:r w:rsidRPr="00FC22AA">
        <w:rPr>
          <w:b/>
          <w:bCs/>
          <w:color w:val="000000" w:themeColor="text1"/>
          <w:sz w:val="22"/>
          <w:szCs w:val="22"/>
          <w:lang w:val="en-GB"/>
        </w:rPr>
        <w:t xml:space="preserve"> the current oversupply situation persists, volumes, prices, and margins will continue to be under strong pressure.</w:t>
      </w:r>
    </w:p>
    <w:p w14:paraId="5D6E966C" w14:textId="77777777" w:rsidR="0050405E" w:rsidRPr="00FC22AA" w:rsidRDefault="0050405E" w:rsidP="0050405E">
      <w:pPr>
        <w:pStyle w:val="Default"/>
        <w:ind w:left="425" w:hanging="425"/>
        <w:jc w:val="both"/>
        <w:rPr>
          <w:b/>
          <w:bCs/>
          <w:color w:val="000000" w:themeColor="text1"/>
          <w:sz w:val="22"/>
          <w:szCs w:val="22"/>
          <w:lang w:val="en-GB"/>
        </w:rPr>
      </w:pPr>
    </w:p>
    <w:p w14:paraId="2D73D70A" w14:textId="77777777" w:rsidR="007E4ACA" w:rsidRPr="00FC22AA" w:rsidRDefault="0050405E"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The objectives set out in Ercros’ cost reduction and revenue increase plan (CRP) are being met as scheduled</w:t>
      </w:r>
      <w:r w:rsidR="007E4ACA" w:rsidRPr="00FC22AA">
        <w:rPr>
          <w:b/>
          <w:bCs/>
          <w:color w:val="000000" w:themeColor="text1"/>
          <w:sz w:val="22"/>
          <w:szCs w:val="22"/>
          <w:lang w:val="en-GB"/>
        </w:rPr>
        <w:t xml:space="preserve">. </w:t>
      </w:r>
    </w:p>
    <w:p w14:paraId="310CF266" w14:textId="77777777" w:rsidR="007E4ACA" w:rsidRPr="00FC22AA" w:rsidRDefault="007E4ACA" w:rsidP="00604A82">
      <w:pPr>
        <w:pStyle w:val="Default"/>
        <w:ind w:left="425"/>
        <w:jc w:val="both"/>
        <w:rPr>
          <w:b/>
          <w:bCs/>
          <w:color w:val="000000" w:themeColor="text1"/>
          <w:sz w:val="22"/>
          <w:szCs w:val="22"/>
          <w:lang w:val="en-GB"/>
        </w:rPr>
      </w:pPr>
    </w:p>
    <w:p w14:paraId="30891E4C" w14:textId="0DF9A5F9" w:rsidR="0050405E" w:rsidRPr="00FC22AA" w:rsidRDefault="007E4ACA"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A</w:t>
      </w:r>
      <w:r w:rsidR="0050405E" w:rsidRPr="00FC22AA">
        <w:rPr>
          <w:b/>
          <w:bCs/>
          <w:color w:val="000000" w:themeColor="text1"/>
          <w:sz w:val="22"/>
          <w:szCs w:val="22"/>
          <w:lang w:val="en-GB"/>
        </w:rPr>
        <w:t xml:space="preserve">lthough the benefits of the Action </w:t>
      </w:r>
      <w:r w:rsidR="0019368E" w:rsidRPr="00FC22AA">
        <w:rPr>
          <w:b/>
          <w:bCs/>
          <w:color w:val="000000" w:themeColor="text1"/>
          <w:sz w:val="22"/>
          <w:szCs w:val="22"/>
          <w:lang w:val="en-GB"/>
        </w:rPr>
        <w:t xml:space="preserve">plan for the European chemical industry </w:t>
      </w:r>
      <w:r w:rsidR="0050405E" w:rsidRPr="00FC22AA">
        <w:rPr>
          <w:b/>
          <w:bCs/>
          <w:color w:val="000000" w:themeColor="text1"/>
          <w:sz w:val="22"/>
          <w:szCs w:val="22"/>
          <w:lang w:val="en-GB"/>
        </w:rPr>
        <w:t>designed by the European Commission (EC) are not yet being perceived.</w:t>
      </w:r>
    </w:p>
    <w:p w14:paraId="175C1644" w14:textId="77777777" w:rsidR="0050405E" w:rsidRPr="00FC22AA" w:rsidRDefault="0050405E" w:rsidP="0050405E">
      <w:pPr>
        <w:pStyle w:val="Default"/>
        <w:ind w:left="425" w:hanging="425"/>
        <w:jc w:val="both"/>
        <w:rPr>
          <w:b/>
          <w:bCs/>
          <w:color w:val="000000" w:themeColor="text1"/>
          <w:sz w:val="22"/>
          <w:szCs w:val="22"/>
          <w:lang w:val="en-GB"/>
        </w:rPr>
      </w:pPr>
    </w:p>
    <w:p w14:paraId="42CEDB36" w14:textId="4AF4CE41" w:rsidR="0050405E" w:rsidRPr="00FC22AA" w:rsidRDefault="0050405E"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 xml:space="preserve">Despite the losses, Ercros </w:t>
      </w:r>
      <w:r w:rsidR="007E4ACA" w:rsidRPr="00FC22AA">
        <w:rPr>
          <w:b/>
          <w:bCs/>
          <w:color w:val="000000" w:themeColor="text1"/>
          <w:sz w:val="22"/>
          <w:szCs w:val="22"/>
          <w:lang w:val="en-GB"/>
        </w:rPr>
        <w:t xml:space="preserve">has </w:t>
      </w:r>
      <w:r w:rsidRPr="00FC22AA">
        <w:rPr>
          <w:b/>
          <w:bCs/>
          <w:color w:val="000000" w:themeColor="text1"/>
          <w:sz w:val="22"/>
          <w:szCs w:val="22"/>
          <w:lang w:val="en-GB"/>
        </w:rPr>
        <w:t xml:space="preserve">reduced its </w:t>
      </w:r>
      <w:r w:rsidR="006F0A5A" w:rsidRPr="00FC22AA">
        <w:rPr>
          <w:b/>
          <w:bCs/>
          <w:color w:val="000000" w:themeColor="text1"/>
          <w:sz w:val="22"/>
          <w:szCs w:val="22"/>
          <w:lang w:val="en-GB"/>
        </w:rPr>
        <w:t xml:space="preserve">net financial debt </w:t>
      </w:r>
      <w:r w:rsidRPr="00FC22AA">
        <w:rPr>
          <w:b/>
          <w:bCs/>
          <w:color w:val="000000" w:themeColor="text1"/>
          <w:sz w:val="22"/>
          <w:szCs w:val="22"/>
          <w:lang w:val="en-GB"/>
        </w:rPr>
        <w:t xml:space="preserve">by </w:t>
      </w:r>
      <w:r w:rsidR="0019368E" w:rsidRPr="00FC22AA">
        <w:rPr>
          <w:b/>
          <w:bCs/>
          <w:color w:val="000000" w:themeColor="text1"/>
          <w:sz w:val="22"/>
          <w:szCs w:val="22"/>
          <w:lang w:val="en-GB"/>
        </w:rPr>
        <w:t xml:space="preserve">EUR </w:t>
      </w:r>
      <w:r w:rsidRPr="00FC22AA">
        <w:rPr>
          <w:b/>
          <w:bCs/>
          <w:color w:val="000000" w:themeColor="text1"/>
          <w:sz w:val="22"/>
          <w:szCs w:val="22"/>
          <w:lang w:val="en-GB"/>
        </w:rPr>
        <w:t xml:space="preserve">8.6 million in 2025 and </w:t>
      </w:r>
      <w:r w:rsidR="007E4ACA" w:rsidRPr="00FC22AA">
        <w:rPr>
          <w:b/>
          <w:bCs/>
          <w:color w:val="000000" w:themeColor="text1"/>
          <w:sz w:val="22"/>
          <w:szCs w:val="22"/>
          <w:lang w:val="en-GB"/>
        </w:rPr>
        <w:t>has</w:t>
      </w:r>
      <w:r w:rsidRPr="00FC22AA">
        <w:rPr>
          <w:b/>
          <w:bCs/>
          <w:color w:val="000000" w:themeColor="text1"/>
          <w:sz w:val="22"/>
          <w:szCs w:val="22"/>
          <w:lang w:val="en-GB"/>
        </w:rPr>
        <w:t xml:space="preserve"> a solid financial position</w:t>
      </w:r>
      <w:r w:rsidR="007E4ACA" w:rsidRPr="00FC22AA">
        <w:rPr>
          <w:b/>
          <w:bCs/>
          <w:color w:val="000000" w:themeColor="text1"/>
          <w:sz w:val="22"/>
          <w:szCs w:val="22"/>
          <w:lang w:val="en-GB"/>
        </w:rPr>
        <w:t>, with</w:t>
      </w:r>
      <w:r w:rsidRPr="00FC22AA">
        <w:rPr>
          <w:b/>
          <w:bCs/>
          <w:color w:val="000000" w:themeColor="text1"/>
          <w:sz w:val="22"/>
          <w:szCs w:val="22"/>
          <w:lang w:val="en-GB"/>
        </w:rPr>
        <w:t xml:space="preserve"> </w:t>
      </w:r>
      <w:r w:rsidR="0019368E" w:rsidRPr="00FC22AA">
        <w:rPr>
          <w:b/>
          <w:bCs/>
          <w:color w:val="000000" w:themeColor="text1"/>
          <w:sz w:val="22"/>
          <w:szCs w:val="22"/>
          <w:lang w:val="en-GB"/>
        </w:rPr>
        <w:t xml:space="preserve">EUR </w:t>
      </w:r>
      <w:r w:rsidRPr="00FC22AA">
        <w:rPr>
          <w:b/>
          <w:bCs/>
          <w:color w:val="000000" w:themeColor="text1"/>
          <w:sz w:val="22"/>
          <w:szCs w:val="22"/>
          <w:lang w:val="en-GB"/>
        </w:rPr>
        <w:t>99 million in liquidity.</w:t>
      </w:r>
    </w:p>
    <w:p w14:paraId="1DFDA129" w14:textId="77777777" w:rsidR="0050405E" w:rsidRPr="00FC22AA" w:rsidRDefault="0050405E" w:rsidP="0050405E">
      <w:pPr>
        <w:pStyle w:val="Default"/>
        <w:ind w:left="425" w:hanging="425"/>
        <w:jc w:val="both"/>
        <w:rPr>
          <w:b/>
          <w:bCs/>
          <w:color w:val="000000" w:themeColor="text1"/>
          <w:sz w:val="22"/>
          <w:szCs w:val="22"/>
          <w:lang w:val="en-GB"/>
        </w:rPr>
      </w:pPr>
    </w:p>
    <w:p w14:paraId="6E415213" w14:textId="77777777" w:rsidR="007E4ACA" w:rsidRPr="00FC22AA" w:rsidRDefault="0050405E"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On February 10, the Spanish Securities Market Commission (</w:t>
      </w:r>
      <w:r w:rsidR="0019368E" w:rsidRPr="00FC22AA">
        <w:rPr>
          <w:b/>
          <w:bCs/>
          <w:color w:val="000000" w:themeColor="text1"/>
          <w:sz w:val="22"/>
          <w:szCs w:val="22"/>
          <w:lang w:val="en-GB"/>
        </w:rPr>
        <w:t>CNMV, in its Spanish abbreviation</w:t>
      </w:r>
      <w:r w:rsidRPr="00FC22AA">
        <w:rPr>
          <w:b/>
          <w:bCs/>
          <w:color w:val="000000" w:themeColor="text1"/>
          <w:sz w:val="22"/>
          <w:szCs w:val="22"/>
          <w:lang w:val="en-GB"/>
        </w:rPr>
        <w:t xml:space="preserve">) approved Bondalti Ibérica S.L.U.’s takeover bid prospectus, with the acceptance period set from February 12 to March 13, 2026 (30 calendar days). </w:t>
      </w:r>
    </w:p>
    <w:p w14:paraId="5AF68A61" w14:textId="77777777" w:rsidR="007E4ACA" w:rsidRPr="00FC22AA" w:rsidRDefault="007E4ACA" w:rsidP="00604A82">
      <w:pPr>
        <w:pStyle w:val="Prrafodelista"/>
        <w:rPr>
          <w:b/>
          <w:bCs/>
          <w:color w:val="000000" w:themeColor="text1"/>
          <w:lang w:val="en-GB"/>
        </w:rPr>
      </w:pPr>
    </w:p>
    <w:p w14:paraId="617F54DF" w14:textId="28C8A15E" w:rsidR="007E4ACA" w:rsidRPr="00FC22AA" w:rsidRDefault="007E4ACA"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On 19 February, the board of directors of Ercros, S.A. issued its mandatory report, in which it rejected the takeover bid by majority vote.</w:t>
      </w:r>
    </w:p>
    <w:p w14:paraId="411AD34B" w14:textId="77777777" w:rsidR="0050405E" w:rsidRPr="00FC22AA" w:rsidRDefault="0050405E" w:rsidP="0050405E">
      <w:pPr>
        <w:pStyle w:val="Default"/>
        <w:ind w:left="425" w:hanging="425"/>
        <w:jc w:val="both"/>
        <w:rPr>
          <w:b/>
          <w:bCs/>
          <w:color w:val="000000" w:themeColor="text1"/>
          <w:sz w:val="22"/>
          <w:szCs w:val="22"/>
          <w:lang w:val="en-GB"/>
        </w:rPr>
      </w:pPr>
    </w:p>
    <w:p w14:paraId="3D28B060" w14:textId="77777777" w:rsidR="0050405E" w:rsidRPr="00FC22AA" w:rsidRDefault="0050405E" w:rsidP="0050405E">
      <w:pPr>
        <w:pStyle w:val="Default"/>
        <w:numPr>
          <w:ilvl w:val="0"/>
          <w:numId w:val="32"/>
        </w:numPr>
        <w:ind w:left="425" w:hanging="425"/>
        <w:jc w:val="both"/>
        <w:rPr>
          <w:b/>
          <w:bCs/>
          <w:color w:val="000000" w:themeColor="text1"/>
          <w:sz w:val="22"/>
          <w:szCs w:val="22"/>
          <w:lang w:val="en-GB"/>
        </w:rPr>
      </w:pPr>
      <w:r w:rsidRPr="00FC22AA">
        <w:rPr>
          <w:b/>
          <w:bCs/>
          <w:color w:val="000000" w:themeColor="text1"/>
          <w:sz w:val="22"/>
          <w:szCs w:val="22"/>
          <w:lang w:val="en-GB"/>
        </w:rPr>
        <w:t>Consensus among specialized publications forecasts that the recovery of demand in the European chemical industry will begin during the second half of 2026, although this remains subject to a reasonable resolution of the current tariff crisis and the implementation of the support plan for the European chemical industry.</w:t>
      </w:r>
    </w:p>
    <w:p w14:paraId="5B3C5828" w14:textId="77777777" w:rsidR="0050405E" w:rsidRPr="00FC22AA" w:rsidRDefault="0050405E" w:rsidP="0050405E">
      <w:pPr>
        <w:pStyle w:val="Default"/>
        <w:ind w:left="425" w:hanging="425"/>
        <w:jc w:val="both"/>
        <w:rPr>
          <w:b/>
          <w:bCs/>
          <w:color w:val="000000" w:themeColor="text1"/>
          <w:sz w:val="22"/>
          <w:szCs w:val="22"/>
          <w:lang w:val="en-GB"/>
        </w:rPr>
      </w:pPr>
    </w:p>
    <w:p w14:paraId="633E4841" w14:textId="3529CAFB" w:rsidR="0050405E" w:rsidRPr="00FC22AA" w:rsidRDefault="0050405E" w:rsidP="00604A82">
      <w:pPr>
        <w:pStyle w:val="Default"/>
        <w:numPr>
          <w:ilvl w:val="0"/>
          <w:numId w:val="32"/>
        </w:numPr>
        <w:ind w:left="425" w:hanging="425"/>
        <w:jc w:val="both"/>
        <w:rPr>
          <w:lang w:val="en-GB"/>
        </w:rPr>
      </w:pPr>
      <w:r w:rsidRPr="00EE5F40">
        <w:rPr>
          <w:b/>
          <w:bCs/>
          <w:color w:val="000000" w:themeColor="text1"/>
          <w:sz w:val="22"/>
          <w:szCs w:val="22"/>
          <w:lang w:val="en-GB"/>
        </w:rPr>
        <w:t xml:space="preserve">In any case, Ercros will continue implementing the 3D Plan </w:t>
      </w:r>
      <w:proofErr w:type="gramStart"/>
      <w:r w:rsidRPr="00EE5F40">
        <w:rPr>
          <w:b/>
          <w:bCs/>
          <w:color w:val="000000" w:themeColor="text1"/>
          <w:sz w:val="22"/>
          <w:szCs w:val="22"/>
          <w:lang w:val="en-GB"/>
        </w:rPr>
        <w:t>in order to</w:t>
      </w:r>
      <w:proofErr w:type="gramEnd"/>
      <w:r w:rsidRPr="00EE5F40">
        <w:rPr>
          <w:b/>
          <w:bCs/>
          <w:color w:val="000000" w:themeColor="text1"/>
          <w:sz w:val="22"/>
          <w:szCs w:val="22"/>
          <w:lang w:val="en-GB"/>
        </w:rPr>
        <w:t xml:space="preserve"> advance the digitali</w:t>
      </w:r>
      <w:r w:rsidR="00DF0D9E" w:rsidRPr="00EE5F40">
        <w:rPr>
          <w:b/>
          <w:bCs/>
          <w:color w:val="000000" w:themeColor="text1"/>
          <w:sz w:val="22"/>
          <w:szCs w:val="22"/>
          <w:lang w:val="en-GB"/>
        </w:rPr>
        <w:t>s</w:t>
      </w:r>
      <w:r w:rsidRPr="00EE5F40">
        <w:rPr>
          <w:b/>
          <w:bCs/>
          <w:color w:val="000000" w:themeColor="text1"/>
          <w:sz w:val="22"/>
          <w:szCs w:val="22"/>
          <w:lang w:val="en-GB"/>
        </w:rPr>
        <w:t>ation of its operations, the decarboni</w:t>
      </w:r>
      <w:r w:rsidR="00DF0D9E" w:rsidRPr="00EE5F40">
        <w:rPr>
          <w:b/>
          <w:bCs/>
          <w:color w:val="000000" w:themeColor="text1"/>
          <w:sz w:val="22"/>
          <w:szCs w:val="22"/>
          <w:lang w:val="en-GB"/>
        </w:rPr>
        <w:t>s</w:t>
      </w:r>
      <w:r w:rsidRPr="00EE5F40">
        <w:rPr>
          <w:b/>
          <w:bCs/>
          <w:color w:val="000000" w:themeColor="text1"/>
          <w:sz w:val="22"/>
          <w:szCs w:val="22"/>
          <w:lang w:val="en-GB"/>
        </w:rPr>
        <w:t>ation of its activities, and the diversification and expansion of its portfolio. At the same time, it will maintain its presence in its operating markets, seize opportunities to defend its margins, and continue carrying out actions aimed at reducing costs and improving competitiveness</w:t>
      </w:r>
      <w:r w:rsidRPr="00FC22AA">
        <w:rPr>
          <w:b/>
          <w:bCs/>
          <w:color w:val="000000" w:themeColor="text1"/>
          <w:lang w:val="en-GB"/>
        </w:rPr>
        <w:t>.</w:t>
      </w:r>
      <w:r w:rsidRPr="00FC22AA">
        <w:rPr>
          <w:lang w:val="en-GB"/>
        </w:rPr>
        <w:br w:type="page"/>
      </w:r>
    </w:p>
    <w:p w14:paraId="65D935EE" w14:textId="5A84DDB1" w:rsidR="00704349" w:rsidRPr="00FC22AA" w:rsidRDefault="00C164D9" w:rsidP="00C164D9">
      <w:pPr>
        <w:pStyle w:val="Prrafodelista"/>
        <w:numPr>
          <w:ilvl w:val="0"/>
          <w:numId w:val="33"/>
        </w:numPr>
        <w:spacing w:after="0" w:line="240" w:lineRule="auto"/>
        <w:ind w:left="851" w:hanging="567"/>
        <w:rPr>
          <w:b/>
          <w:bCs/>
          <w:lang w:val="en-GB"/>
        </w:rPr>
      </w:pPr>
      <w:r w:rsidRPr="00FC22AA">
        <w:rPr>
          <w:b/>
          <w:bCs/>
          <w:lang w:val="en-GB"/>
        </w:rPr>
        <w:lastRenderedPageBreak/>
        <w:t>KEY EVENTS OF 2025</w:t>
      </w:r>
    </w:p>
    <w:p w14:paraId="7049CE86" w14:textId="77777777" w:rsidR="00C164D9" w:rsidRPr="00FC22AA" w:rsidRDefault="00C164D9" w:rsidP="00C164D9">
      <w:pPr>
        <w:spacing w:after="0" w:line="240" w:lineRule="auto"/>
        <w:ind w:left="720"/>
        <w:rPr>
          <w:b/>
          <w:bCs/>
          <w:lang w:val="en-GB"/>
        </w:rPr>
      </w:pPr>
    </w:p>
    <w:p w14:paraId="1AF181C5" w14:textId="3E9724C7" w:rsidR="00983EDC" w:rsidRPr="00FC22AA" w:rsidRDefault="00C164D9" w:rsidP="00C164D9">
      <w:pPr>
        <w:pStyle w:val="Prrafodelista"/>
        <w:numPr>
          <w:ilvl w:val="0"/>
          <w:numId w:val="2"/>
        </w:numPr>
        <w:spacing w:after="0" w:line="240" w:lineRule="auto"/>
        <w:ind w:left="360"/>
        <w:jc w:val="both"/>
        <w:rPr>
          <w:lang w:val="en-GB"/>
        </w:rPr>
      </w:pPr>
      <w:r w:rsidRPr="00FC22AA">
        <w:rPr>
          <w:lang w:val="en-GB"/>
        </w:rPr>
        <w:t>In 2025 Ercros sold 910 thousand tons of products, a slightly lower amount than the 938 thousand tons sold in 2024: a decrease of 2.9%.</w:t>
      </w:r>
    </w:p>
    <w:p w14:paraId="05A1CA0E" w14:textId="77777777" w:rsidR="00C164D9" w:rsidRPr="00FC22AA" w:rsidRDefault="00C164D9" w:rsidP="00570770">
      <w:pPr>
        <w:pStyle w:val="Prrafodelista"/>
        <w:spacing w:after="0" w:line="240" w:lineRule="auto"/>
        <w:ind w:left="357"/>
        <w:jc w:val="both"/>
        <w:rPr>
          <w:lang w:val="en-GB"/>
        </w:rPr>
      </w:pPr>
    </w:p>
    <w:p w14:paraId="50B2F85C" w14:textId="7604417F" w:rsidR="00593FBB" w:rsidRPr="00FC22AA" w:rsidRDefault="00C164D9" w:rsidP="006773DA">
      <w:pPr>
        <w:spacing w:after="0" w:line="240" w:lineRule="auto"/>
        <w:ind w:left="567"/>
        <w:jc w:val="center"/>
        <w:rPr>
          <w:lang w:val="en-GB"/>
        </w:rPr>
      </w:pPr>
      <w:r w:rsidRPr="00FC22AA">
        <w:rPr>
          <w:noProof/>
          <w:lang w:val="en-GB"/>
        </w:rPr>
        <w:drawing>
          <wp:inline distT="0" distB="0" distL="0" distR="0" wp14:anchorId="2EBBF023" wp14:editId="24BCB1F8">
            <wp:extent cx="5053965" cy="2889885"/>
            <wp:effectExtent l="0" t="0" r="0" b="5715"/>
            <wp:docPr id="13309976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2889885"/>
                    </a:xfrm>
                    <a:prstGeom prst="rect">
                      <a:avLst/>
                    </a:prstGeom>
                    <a:noFill/>
                  </pic:spPr>
                </pic:pic>
              </a:graphicData>
            </a:graphic>
          </wp:inline>
        </w:drawing>
      </w:r>
      <w:r w:rsidR="00C36728" w:rsidRPr="00FC22AA" w:rsidDel="00C36728">
        <w:rPr>
          <w:noProof/>
          <w:lang w:val="en-GB"/>
        </w:rPr>
        <w:t xml:space="preserve"> </w:t>
      </w:r>
    </w:p>
    <w:p w14:paraId="6D5EB83F" w14:textId="77777777" w:rsidR="00994EF1" w:rsidRPr="00FC22AA" w:rsidRDefault="00994EF1">
      <w:pPr>
        <w:pStyle w:val="Prrafodelista"/>
        <w:spacing w:after="0" w:line="240" w:lineRule="auto"/>
        <w:ind w:left="360"/>
        <w:jc w:val="center"/>
        <w:rPr>
          <w:b/>
          <w:bCs/>
          <w:lang w:val="en-GB"/>
        </w:rPr>
      </w:pPr>
    </w:p>
    <w:p w14:paraId="20B47BE0" w14:textId="77777777" w:rsidR="00D05359" w:rsidRPr="00FC22AA" w:rsidRDefault="00D05359">
      <w:pPr>
        <w:pStyle w:val="Prrafodelista"/>
        <w:spacing w:after="0" w:line="240" w:lineRule="auto"/>
        <w:ind w:left="360"/>
        <w:jc w:val="center"/>
        <w:rPr>
          <w:b/>
          <w:bCs/>
          <w:lang w:val="en-GB"/>
        </w:rPr>
      </w:pPr>
    </w:p>
    <w:p w14:paraId="709AA236" w14:textId="2D40EB14" w:rsidR="00E257E4" w:rsidRPr="00FC22AA" w:rsidRDefault="00C164D9" w:rsidP="00C164D9">
      <w:pPr>
        <w:pStyle w:val="Prrafodelista"/>
        <w:numPr>
          <w:ilvl w:val="0"/>
          <w:numId w:val="2"/>
        </w:numPr>
        <w:spacing w:after="0" w:line="240" w:lineRule="auto"/>
        <w:ind w:left="360"/>
        <w:jc w:val="both"/>
        <w:rPr>
          <w:lang w:val="en-GB"/>
        </w:rPr>
      </w:pPr>
      <w:r w:rsidRPr="00FC22AA">
        <w:rPr>
          <w:lang w:val="en-GB"/>
        </w:rPr>
        <w:t>Product sales totalled EUR 603.36 million compared to EUR 643.43 million in 2024, a decrease of EUR 40.07 million, equivalent to a drop of 6.2%</w:t>
      </w:r>
      <w:r w:rsidR="00F7044A" w:rsidRPr="00FC22AA" w:rsidDel="00F7044A">
        <w:rPr>
          <w:lang w:val="en-GB"/>
        </w:rPr>
        <w:t xml:space="preserve"> </w:t>
      </w:r>
    </w:p>
    <w:p w14:paraId="017CD6E9" w14:textId="778614AB" w:rsidR="00E257E4" w:rsidRPr="00FC22AA" w:rsidRDefault="00E257E4" w:rsidP="006773DA">
      <w:pPr>
        <w:pStyle w:val="Prrafodelista"/>
        <w:spacing w:after="0" w:line="240" w:lineRule="auto"/>
        <w:ind w:left="567"/>
        <w:jc w:val="center"/>
        <w:rPr>
          <w:lang w:val="en-GB"/>
        </w:rPr>
      </w:pPr>
    </w:p>
    <w:p w14:paraId="0916827E" w14:textId="65474916" w:rsidR="00E257E4" w:rsidRPr="00FC22AA" w:rsidRDefault="00C164D9" w:rsidP="00C164D9">
      <w:pPr>
        <w:pStyle w:val="Prrafodelista"/>
        <w:spacing w:after="0" w:line="240" w:lineRule="auto"/>
        <w:ind w:left="360"/>
        <w:jc w:val="center"/>
        <w:rPr>
          <w:lang w:val="en-GB"/>
        </w:rPr>
      </w:pPr>
      <w:r w:rsidRPr="00FC22AA">
        <w:rPr>
          <w:noProof/>
          <w:lang w:val="en-GB"/>
        </w:rPr>
        <w:drawing>
          <wp:inline distT="0" distB="0" distL="0" distR="0" wp14:anchorId="7ACBBB03" wp14:editId="77CC1E9A">
            <wp:extent cx="5047615" cy="2889885"/>
            <wp:effectExtent l="0" t="0" r="635" b="5715"/>
            <wp:docPr id="1800788551" name="Imagen 3"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88551" name="Imagen 3" descr="Gráfico, Gráfico de líneas&#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7615" cy="2889885"/>
                    </a:xfrm>
                    <a:prstGeom prst="rect">
                      <a:avLst/>
                    </a:prstGeom>
                    <a:noFill/>
                  </pic:spPr>
                </pic:pic>
              </a:graphicData>
            </a:graphic>
          </wp:inline>
        </w:drawing>
      </w:r>
    </w:p>
    <w:p w14:paraId="527BE3B9" w14:textId="46A79294" w:rsidR="003D57DB" w:rsidRPr="00FC22AA" w:rsidRDefault="003D57DB">
      <w:pPr>
        <w:pStyle w:val="Prrafodelista"/>
        <w:spacing w:after="0" w:line="240" w:lineRule="auto"/>
        <w:ind w:left="360"/>
        <w:jc w:val="both"/>
        <w:rPr>
          <w:lang w:val="en-GB"/>
        </w:rPr>
      </w:pPr>
      <w:r w:rsidRPr="00FC22AA">
        <w:rPr>
          <w:lang w:val="en-GB"/>
        </w:rPr>
        <w:br w:type="page"/>
      </w:r>
    </w:p>
    <w:p w14:paraId="311DD557" w14:textId="22AE73AD" w:rsidR="000A7D0B" w:rsidRPr="00FC22AA" w:rsidRDefault="00C164D9" w:rsidP="00C164D9">
      <w:pPr>
        <w:pStyle w:val="Prrafodelista"/>
        <w:numPr>
          <w:ilvl w:val="0"/>
          <w:numId w:val="2"/>
        </w:numPr>
        <w:spacing w:after="0" w:line="240" w:lineRule="auto"/>
        <w:ind w:left="360"/>
        <w:jc w:val="both"/>
        <w:rPr>
          <w:lang w:val="en-GB"/>
        </w:rPr>
      </w:pPr>
      <w:r w:rsidRPr="00FC22AA">
        <w:rPr>
          <w:lang w:val="en-GB"/>
        </w:rPr>
        <w:lastRenderedPageBreak/>
        <w:t>Of the EUR 40.07 million by which sales decreased, the drop in the average price per ton accounts for EUR 21.94 million (</w:t>
      </w:r>
      <w:r w:rsidR="00DF0D9E" w:rsidRPr="00FC22AA">
        <w:rPr>
          <w:lang w:val="en-GB"/>
        </w:rPr>
        <w:t xml:space="preserve">a </w:t>
      </w:r>
      <w:r w:rsidRPr="00FC22AA">
        <w:rPr>
          <w:lang w:val="en-GB"/>
        </w:rPr>
        <w:t>54.8%), while the lower volume of tons sold accounts for EUR 18.77 million (</w:t>
      </w:r>
      <w:r w:rsidR="00DF0D9E" w:rsidRPr="00FC22AA">
        <w:rPr>
          <w:lang w:val="en-GB"/>
        </w:rPr>
        <w:t xml:space="preserve">a </w:t>
      </w:r>
      <w:r w:rsidRPr="00FC22AA">
        <w:rPr>
          <w:lang w:val="en-GB"/>
        </w:rPr>
        <w:t>46.8%). The mix effect moves in the opposite direction and explains the remaining -1.6%.</w:t>
      </w:r>
    </w:p>
    <w:p w14:paraId="09D0BF92" w14:textId="77777777" w:rsidR="00C164D9" w:rsidRPr="00FC22AA" w:rsidRDefault="00C164D9" w:rsidP="00570770">
      <w:pPr>
        <w:pStyle w:val="Prrafodelista"/>
        <w:spacing w:after="0" w:line="240" w:lineRule="auto"/>
        <w:ind w:left="360"/>
        <w:jc w:val="both"/>
        <w:rPr>
          <w:lang w:val="en-GB"/>
        </w:rPr>
      </w:pPr>
    </w:p>
    <w:p w14:paraId="59ABC307" w14:textId="4D695190" w:rsidR="00C164D9" w:rsidRPr="00FC22AA" w:rsidRDefault="00C164D9" w:rsidP="00C164D9">
      <w:pPr>
        <w:pStyle w:val="Prrafodelista"/>
        <w:spacing w:after="0" w:line="240" w:lineRule="auto"/>
        <w:ind w:left="360"/>
        <w:jc w:val="center"/>
        <w:rPr>
          <w:rFonts w:ascii="Times New Roman" w:eastAsia="Times New Roman" w:hAnsi="Times New Roman" w:cs="Times New Roman"/>
          <w:sz w:val="24"/>
          <w:szCs w:val="24"/>
          <w:lang w:val="en-GB" w:eastAsia="es-ES"/>
        </w:rPr>
      </w:pPr>
      <w:r w:rsidRPr="00FC22AA">
        <w:rPr>
          <w:rFonts w:ascii="Times New Roman" w:eastAsia="Times New Roman" w:hAnsi="Times New Roman" w:cs="Times New Roman"/>
          <w:noProof/>
          <w:sz w:val="24"/>
          <w:szCs w:val="24"/>
          <w:lang w:val="en-GB" w:eastAsia="es-ES"/>
        </w:rPr>
        <w:drawing>
          <wp:inline distT="0" distB="0" distL="0" distR="0" wp14:anchorId="3A91207B" wp14:editId="0EC8EE44">
            <wp:extent cx="5047615" cy="2883535"/>
            <wp:effectExtent l="0" t="0" r="635" b="0"/>
            <wp:docPr id="3668855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883535"/>
                    </a:xfrm>
                    <a:prstGeom prst="rect">
                      <a:avLst/>
                    </a:prstGeom>
                    <a:noFill/>
                  </pic:spPr>
                </pic:pic>
              </a:graphicData>
            </a:graphic>
          </wp:inline>
        </w:drawing>
      </w:r>
    </w:p>
    <w:p w14:paraId="074B2815" w14:textId="79A14C3B" w:rsidR="00843D79" w:rsidRPr="00FC22AA" w:rsidRDefault="00843D79" w:rsidP="006773DA">
      <w:pPr>
        <w:pStyle w:val="Prrafodelista"/>
        <w:spacing w:after="0" w:line="240" w:lineRule="auto"/>
        <w:ind w:left="567"/>
        <w:jc w:val="center"/>
        <w:rPr>
          <w:noProof/>
          <w:lang w:val="en-GB"/>
        </w:rPr>
      </w:pPr>
    </w:p>
    <w:p w14:paraId="682B133B" w14:textId="77777777" w:rsidR="00361EFD" w:rsidRPr="00FC22AA" w:rsidRDefault="00361EFD" w:rsidP="00697468">
      <w:pPr>
        <w:pStyle w:val="Prrafodelista"/>
        <w:spacing w:after="0" w:line="240" w:lineRule="auto"/>
        <w:ind w:left="360"/>
        <w:jc w:val="both"/>
        <w:rPr>
          <w:noProof/>
          <w:lang w:val="en-GB"/>
        </w:rPr>
      </w:pPr>
    </w:p>
    <w:p w14:paraId="3D319F8A" w14:textId="1F5CDCEC" w:rsidR="006773DA" w:rsidRPr="00FC22AA" w:rsidRDefault="00277BB9" w:rsidP="00277BB9">
      <w:pPr>
        <w:pStyle w:val="Prrafodelista"/>
        <w:numPr>
          <w:ilvl w:val="0"/>
          <w:numId w:val="2"/>
        </w:numPr>
        <w:spacing w:after="0" w:line="240" w:lineRule="auto"/>
        <w:ind w:left="360"/>
        <w:jc w:val="both"/>
        <w:rPr>
          <w:lang w:val="en-GB"/>
        </w:rPr>
      </w:pPr>
      <w:r w:rsidRPr="00FC22AA">
        <w:rPr>
          <w:lang w:val="en-GB"/>
        </w:rPr>
        <w:t xml:space="preserve">The contribution generated by product sales and service provision in 2025 amounted to EUR 198.13 million, compared with EUR 224.62 million in 2024; a decrease of 11.8%. This reduction is the result of a EUR 40.60 million drop in sales and service provision, which exceeded the EUR 14.11 million decrease in variable costs. </w:t>
      </w:r>
    </w:p>
    <w:p w14:paraId="68A977C1" w14:textId="77777777" w:rsidR="00277BB9" w:rsidRPr="00FC22AA" w:rsidRDefault="00277BB9" w:rsidP="006773DA">
      <w:pPr>
        <w:pStyle w:val="Prrafodelista"/>
        <w:spacing w:after="0" w:line="240" w:lineRule="auto"/>
        <w:ind w:left="360"/>
        <w:jc w:val="both"/>
        <w:rPr>
          <w:lang w:val="en-GB"/>
        </w:rPr>
      </w:pPr>
    </w:p>
    <w:p w14:paraId="71D76983" w14:textId="29EEAE64" w:rsidR="00385493" w:rsidRPr="00FC22AA" w:rsidRDefault="00277BB9" w:rsidP="00277BB9">
      <w:pPr>
        <w:spacing w:after="0" w:line="240" w:lineRule="auto"/>
        <w:ind w:left="567"/>
        <w:jc w:val="center"/>
        <w:rPr>
          <w:lang w:val="en-GB"/>
        </w:rPr>
      </w:pPr>
      <w:r w:rsidRPr="00FC22AA">
        <w:rPr>
          <w:noProof/>
          <w:lang w:val="en-GB"/>
        </w:rPr>
        <w:drawing>
          <wp:inline distT="0" distB="0" distL="0" distR="0" wp14:anchorId="31189828" wp14:editId="31D6896D">
            <wp:extent cx="5053965" cy="2889885"/>
            <wp:effectExtent l="0" t="0" r="0" b="5715"/>
            <wp:docPr id="2325423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3965" cy="2889885"/>
                    </a:xfrm>
                    <a:prstGeom prst="rect">
                      <a:avLst/>
                    </a:prstGeom>
                    <a:noFill/>
                  </pic:spPr>
                </pic:pic>
              </a:graphicData>
            </a:graphic>
          </wp:inline>
        </w:drawing>
      </w:r>
    </w:p>
    <w:p w14:paraId="46D60554" w14:textId="4D7A5AD8" w:rsidR="00385493" w:rsidRPr="00FC22AA" w:rsidRDefault="00277BB9" w:rsidP="00512461">
      <w:pPr>
        <w:spacing w:after="0" w:line="240" w:lineRule="auto"/>
        <w:ind w:left="567"/>
        <w:jc w:val="both"/>
        <w:rPr>
          <w:rFonts w:eastAsia="Times New Roman" w:cstheme="minorHAnsi"/>
          <w:color w:val="000000"/>
          <w:sz w:val="18"/>
          <w:szCs w:val="18"/>
          <w:lang w:val="en-GB" w:eastAsia="es-ES"/>
        </w:rPr>
      </w:pPr>
      <w:r w:rsidRPr="00FC22AA">
        <w:rPr>
          <w:rFonts w:eastAsia="Times New Roman" w:cstheme="minorHAnsi"/>
          <w:color w:val="000000"/>
          <w:sz w:val="18"/>
          <w:szCs w:val="18"/>
          <w:lang w:val="en-GB" w:eastAsia="es-ES"/>
        </w:rPr>
        <w:t>Contribution: (product sales + service provision) – procurement – utilities + change in inventories</w:t>
      </w:r>
      <w:r w:rsidR="00512461" w:rsidRPr="00FC22AA">
        <w:rPr>
          <w:rFonts w:eastAsia="Times New Roman" w:cstheme="minorHAnsi"/>
          <w:color w:val="000000"/>
          <w:sz w:val="18"/>
          <w:szCs w:val="18"/>
          <w:lang w:val="en-GB" w:eastAsia="es-ES"/>
        </w:rPr>
        <w:t>.</w:t>
      </w:r>
    </w:p>
    <w:p w14:paraId="6A6BE812" w14:textId="44A4FD8E" w:rsidR="00277BB9" w:rsidRPr="00FC22AA" w:rsidRDefault="00277BB9">
      <w:pPr>
        <w:rPr>
          <w:rFonts w:eastAsia="Times New Roman" w:cstheme="minorHAnsi"/>
          <w:color w:val="000000"/>
          <w:sz w:val="18"/>
          <w:szCs w:val="18"/>
          <w:lang w:val="en-GB" w:eastAsia="es-ES"/>
        </w:rPr>
      </w:pPr>
      <w:r w:rsidRPr="00FC22AA">
        <w:rPr>
          <w:rFonts w:eastAsia="Times New Roman" w:cstheme="minorHAnsi"/>
          <w:color w:val="000000"/>
          <w:sz w:val="18"/>
          <w:szCs w:val="18"/>
          <w:lang w:val="en-GB" w:eastAsia="es-ES"/>
        </w:rPr>
        <w:br w:type="page"/>
      </w:r>
    </w:p>
    <w:p w14:paraId="41BA4ED3" w14:textId="0F409137" w:rsidR="009B2D53" w:rsidRPr="00FC22AA" w:rsidRDefault="00277BB9" w:rsidP="00277BB9">
      <w:pPr>
        <w:pStyle w:val="Prrafodelista"/>
        <w:numPr>
          <w:ilvl w:val="0"/>
          <w:numId w:val="2"/>
        </w:numPr>
        <w:spacing w:after="0" w:line="240" w:lineRule="auto"/>
        <w:ind w:left="360"/>
        <w:jc w:val="both"/>
        <w:rPr>
          <w:lang w:val="en-GB"/>
        </w:rPr>
      </w:pPr>
      <w:r w:rsidRPr="00FC22AA">
        <w:rPr>
          <w:lang w:val="en-GB"/>
        </w:rPr>
        <w:lastRenderedPageBreak/>
        <w:t>Regarding contribution, in 2025 the negative price effect of EUR 21.75 million was, in absolute terms, greater than the positive unit variable cost (UVC) effect of EUR 1.22 million. The net effect of price and UVC amounts to EUR </w:t>
      </w:r>
      <w:r w:rsidR="00AE7BA0" w:rsidRPr="00FC22AA">
        <w:rPr>
          <w:lang w:val="en-GB"/>
        </w:rPr>
        <w:t>-</w:t>
      </w:r>
      <w:r w:rsidRPr="00FC22AA">
        <w:rPr>
          <w:lang w:val="en-GB"/>
        </w:rPr>
        <w:t>20.53 million and explains 77.5% of the EUR </w:t>
      </w:r>
      <w:r w:rsidR="00AE7BA0" w:rsidRPr="00FC22AA">
        <w:rPr>
          <w:lang w:val="en-GB"/>
        </w:rPr>
        <w:t>-</w:t>
      </w:r>
      <w:r w:rsidRPr="00FC22AA">
        <w:rPr>
          <w:lang w:val="en-GB"/>
        </w:rPr>
        <w:t>26.49 million change in contribution. The remaining 22.5% is explained by the volume effect, EUR </w:t>
      </w:r>
      <w:r w:rsidR="00AE7BA0" w:rsidRPr="00FC22AA">
        <w:rPr>
          <w:lang w:val="en-GB"/>
        </w:rPr>
        <w:t>-</w:t>
      </w:r>
      <w:r w:rsidRPr="00FC22AA">
        <w:rPr>
          <w:lang w:val="en-GB"/>
        </w:rPr>
        <w:t>6.55 million (24.7%), and the mix effect, EUR 0.60 million (</w:t>
      </w:r>
      <w:r w:rsidR="00AE7BA0" w:rsidRPr="00FC22AA">
        <w:rPr>
          <w:lang w:val="en-GB"/>
        </w:rPr>
        <w:t>-</w:t>
      </w:r>
      <w:r w:rsidRPr="00FC22AA">
        <w:rPr>
          <w:lang w:val="en-GB"/>
        </w:rPr>
        <w:t xml:space="preserve">2.2%). </w:t>
      </w:r>
    </w:p>
    <w:p w14:paraId="55EEFFC7" w14:textId="77777777" w:rsidR="00277BB9" w:rsidRPr="00FC22AA" w:rsidRDefault="00277BB9" w:rsidP="009B2D53">
      <w:pPr>
        <w:spacing w:after="0" w:line="240" w:lineRule="auto"/>
        <w:jc w:val="both"/>
        <w:rPr>
          <w:lang w:val="en-GB"/>
        </w:rPr>
      </w:pPr>
    </w:p>
    <w:p w14:paraId="6FB61175" w14:textId="5D1924E3" w:rsidR="00ED64D3" w:rsidRPr="00FC22AA" w:rsidRDefault="00277BB9" w:rsidP="00A01657">
      <w:pPr>
        <w:spacing w:after="0" w:line="240" w:lineRule="auto"/>
        <w:ind w:left="567"/>
        <w:jc w:val="center"/>
        <w:rPr>
          <w:lang w:val="en-GB"/>
        </w:rPr>
      </w:pPr>
      <w:r w:rsidRPr="00FC22AA">
        <w:rPr>
          <w:noProof/>
          <w:lang w:val="en-GB"/>
        </w:rPr>
        <w:drawing>
          <wp:inline distT="0" distB="0" distL="0" distR="0" wp14:anchorId="33A42D60" wp14:editId="7D450D38">
            <wp:extent cx="5047615" cy="2889885"/>
            <wp:effectExtent l="0" t="0" r="635" b="5715"/>
            <wp:docPr id="16510626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889885"/>
                    </a:xfrm>
                    <a:prstGeom prst="rect">
                      <a:avLst/>
                    </a:prstGeom>
                    <a:noFill/>
                  </pic:spPr>
                </pic:pic>
              </a:graphicData>
            </a:graphic>
          </wp:inline>
        </w:drawing>
      </w:r>
    </w:p>
    <w:p w14:paraId="0B16B8C2" w14:textId="77777777" w:rsidR="000C7754" w:rsidRPr="00FC22AA" w:rsidRDefault="000C7754" w:rsidP="00126C64">
      <w:pPr>
        <w:spacing w:after="0" w:line="240" w:lineRule="auto"/>
        <w:jc w:val="both"/>
        <w:rPr>
          <w:lang w:val="en-GB"/>
        </w:rPr>
      </w:pPr>
    </w:p>
    <w:p w14:paraId="37BD3CA6" w14:textId="77777777" w:rsidR="0001079A" w:rsidRPr="00FC22AA" w:rsidRDefault="0001079A" w:rsidP="00BE36A1">
      <w:pPr>
        <w:spacing w:after="0" w:line="240" w:lineRule="auto"/>
        <w:jc w:val="both"/>
        <w:rPr>
          <w:lang w:val="en-GB"/>
        </w:rPr>
      </w:pPr>
    </w:p>
    <w:p w14:paraId="749EEFCC" w14:textId="6D448798" w:rsidR="008A67A1" w:rsidRPr="00FC22AA" w:rsidRDefault="00277BB9" w:rsidP="00277BB9">
      <w:pPr>
        <w:pStyle w:val="Prrafodelista"/>
        <w:numPr>
          <w:ilvl w:val="0"/>
          <w:numId w:val="2"/>
        </w:numPr>
        <w:spacing w:after="0" w:line="240" w:lineRule="auto"/>
        <w:ind w:left="360"/>
        <w:jc w:val="both"/>
        <w:rPr>
          <w:lang w:val="en-GB"/>
        </w:rPr>
      </w:pPr>
      <w:r w:rsidRPr="00FC22AA">
        <w:rPr>
          <w:lang w:val="en-GB"/>
        </w:rPr>
        <w:t xml:space="preserve">The contribution margin (contribution divided by the sum of product sales and service provision) decreased from 33.7% in 2024 to 31.6% in 2025. This represents a change of </w:t>
      </w:r>
      <w:r w:rsidR="00AE7BA0" w:rsidRPr="00FC22AA">
        <w:rPr>
          <w:lang w:val="en-GB"/>
        </w:rPr>
        <w:t>-</w:t>
      </w:r>
      <w:r w:rsidRPr="00FC22AA">
        <w:rPr>
          <w:lang w:val="en-GB"/>
        </w:rPr>
        <w:t>2.1 percentage points, driven by the increase in the relative weight of variable costs, which accounted for 66.6% of sales (plus service provision) in 2024 and 68.4% in 2025.</w:t>
      </w:r>
    </w:p>
    <w:p w14:paraId="65BC8E29" w14:textId="77777777" w:rsidR="00277BB9" w:rsidRPr="00FC22AA" w:rsidRDefault="00277BB9" w:rsidP="008A67A1">
      <w:pPr>
        <w:pStyle w:val="Prrafodelista"/>
        <w:spacing w:after="0" w:line="240" w:lineRule="auto"/>
        <w:ind w:left="360"/>
        <w:jc w:val="both"/>
        <w:rPr>
          <w:lang w:val="en-GB"/>
        </w:rPr>
      </w:pPr>
    </w:p>
    <w:p w14:paraId="6E31A7FF" w14:textId="7AD24469" w:rsidR="009B2D53" w:rsidRPr="00FC22AA" w:rsidRDefault="00277BB9" w:rsidP="00512461">
      <w:pPr>
        <w:pStyle w:val="Prrafodelista"/>
        <w:spacing w:after="0" w:line="240" w:lineRule="auto"/>
        <w:ind w:left="567"/>
        <w:jc w:val="center"/>
        <w:rPr>
          <w:lang w:val="en-GB"/>
        </w:rPr>
      </w:pPr>
      <w:r w:rsidRPr="00FC22AA">
        <w:rPr>
          <w:noProof/>
          <w:lang w:val="en-GB"/>
        </w:rPr>
        <w:drawing>
          <wp:inline distT="0" distB="0" distL="0" distR="0" wp14:anchorId="692D1042" wp14:editId="512BBFD1">
            <wp:extent cx="5053965" cy="2895600"/>
            <wp:effectExtent l="0" t="0" r="0" b="0"/>
            <wp:docPr id="849667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3965" cy="2895600"/>
                    </a:xfrm>
                    <a:prstGeom prst="rect">
                      <a:avLst/>
                    </a:prstGeom>
                    <a:noFill/>
                  </pic:spPr>
                </pic:pic>
              </a:graphicData>
            </a:graphic>
          </wp:inline>
        </w:drawing>
      </w:r>
    </w:p>
    <w:p w14:paraId="52656A86" w14:textId="77777777" w:rsidR="00C442CD" w:rsidRPr="00FC22AA" w:rsidRDefault="00C442CD" w:rsidP="00C442CD">
      <w:pPr>
        <w:ind w:firstLine="567"/>
        <w:rPr>
          <w:sz w:val="18"/>
          <w:szCs w:val="18"/>
          <w:lang w:val="en-GB"/>
        </w:rPr>
      </w:pPr>
      <w:r w:rsidRPr="00FC22AA">
        <w:rPr>
          <w:sz w:val="18"/>
          <w:szCs w:val="18"/>
          <w:lang w:val="en-GB"/>
        </w:rPr>
        <w:t>Contribution margin: contribution / (product sales + service provision).</w:t>
      </w:r>
    </w:p>
    <w:p w14:paraId="58BEDDC7" w14:textId="59DA2EF8" w:rsidR="0091771B" w:rsidRPr="00FC22AA" w:rsidRDefault="0091771B">
      <w:pPr>
        <w:rPr>
          <w:sz w:val="18"/>
          <w:szCs w:val="18"/>
          <w:lang w:val="en-GB"/>
        </w:rPr>
      </w:pPr>
      <w:r w:rsidRPr="00FC22AA">
        <w:rPr>
          <w:sz w:val="18"/>
          <w:szCs w:val="18"/>
          <w:lang w:val="en-GB"/>
        </w:rPr>
        <w:br w:type="page"/>
      </w:r>
    </w:p>
    <w:p w14:paraId="324146E8" w14:textId="07DA6BA8" w:rsidR="000D48B2" w:rsidRPr="00FC22AA" w:rsidRDefault="00C442CD" w:rsidP="00C442CD">
      <w:pPr>
        <w:pStyle w:val="Prrafodelista"/>
        <w:numPr>
          <w:ilvl w:val="0"/>
          <w:numId w:val="2"/>
        </w:numPr>
        <w:spacing w:after="0" w:line="240" w:lineRule="auto"/>
        <w:ind w:left="360"/>
        <w:jc w:val="both"/>
        <w:rPr>
          <w:lang w:val="en-GB"/>
        </w:rPr>
      </w:pPr>
      <w:bookmarkStart w:id="1" w:name="_Hlk77099692"/>
      <w:r w:rsidRPr="00FC22AA">
        <w:rPr>
          <w:lang w:val="en-GB"/>
        </w:rPr>
        <w:t>Adjusted ebitda for 2025 amounted to EUR 7.80 million, compared with EUR 28.63 million in 2024, representing a reduction of EUR 20.83 million (</w:t>
      </w:r>
      <w:r w:rsidR="00DF0D9E" w:rsidRPr="00FC22AA">
        <w:rPr>
          <w:lang w:val="en-GB"/>
        </w:rPr>
        <w:t>-</w:t>
      </w:r>
      <w:r w:rsidRPr="00FC22AA">
        <w:rPr>
          <w:lang w:val="en-GB"/>
        </w:rPr>
        <w:t>72.8%). This decrease is smaller than the EUR 26.49 million drop in contribution due, among other factors, to higher income from indirect CO₂ emission compensations granted (which increased by EUR 6.39 million in 2025 compared with 2024).</w:t>
      </w:r>
    </w:p>
    <w:p w14:paraId="55D26BC9" w14:textId="77777777" w:rsidR="006E02D3" w:rsidRPr="00FC22AA" w:rsidRDefault="006E02D3" w:rsidP="006E02D3">
      <w:pPr>
        <w:pStyle w:val="Prrafodelista"/>
        <w:spacing w:after="0" w:line="240" w:lineRule="auto"/>
        <w:ind w:left="360"/>
        <w:jc w:val="both"/>
        <w:rPr>
          <w:lang w:val="en-GB"/>
        </w:rPr>
      </w:pPr>
    </w:p>
    <w:p w14:paraId="1D350BC4" w14:textId="3B50E7D8" w:rsidR="00C66122" w:rsidRPr="00FC22AA" w:rsidRDefault="00C442CD" w:rsidP="006E02D3">
      <w:pPr>
        <w:spacing w:after="0" w:line="240" w:lineRule="auto"/>
        <w:ind w:left="567"/>
        <w:jc w:val="center"/>
        <w:rPr>
          <w:lang w:val="en-GB"/>
        </w:rPr>
      </w:pPr>
      <w:r w:rsidRPr="00FC22AA">
        <w:rPr>
          <w:noProof/>
          <w:lang w:val="en-GB"/>
        </w:rPr>
        <w:drawing>
          <wp:inline distT="0" distB="0" distL="0" distR="0" wp14:anchorId="531AF972" wp14:editId="7464EA5E">
            <wp:extent cx="5053965" cy="2895600"/>
            <wp:effectExtent l="0" t="0" r="0" b="0"/>
            <wp:docPr id="18436506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3965" cy="2895600"/>
                    </a:xfrm>
                    <a:prstGeom prst="rect">
                      <a:avLst/>
                    </a:prstGeom>
                    <a:noFill/>
                  </pic:spPr>
                </pic:pic>
              </a:graphicData>
            </a:graphic>
          </wp:inline>
        </w:drawing>
      </w:r>
    </w:p>
    <w:bookmarkEnd w:id="1"/>
    <w:p w14:paraId="6598B5E1" w14:textId="040F1802" w:rsidR="002E2B54" w:rsidRPr="00FC22AA" w:rsidRDefault="00D57461" w:rsidP="00D57461">
      <w:pPr>
        <w:pStyle w:val="Prrafodelista"/>
        <w:spacing w:after="0" w:line="240" w:lineRule="auto"/>
        <w:ind w:left="567"/>
        <w:rPr>
          <w:sz w:val="18"/>
          <w:szCs w:val="18"/>
          <w:lang w:val="en-GB"/>
        </w:rPr>
      </w:pPr>
      <w:r w:rsidRPr="00FC22AA">
        <w:rPr>
          <w:sz w:val="18"/>
          <w:szCs w:val="18"/>
          <w:lang w:val="en-GB"/>
        </w:rPr>
        <w:t>Adjusted ebitda: ebitda excluding non</w:t>
      </w:r>
      <w:r w:rsidRPr="00FC22AA">
        <w:rPr>
          <w:rFonts w:ascii="Cambria Math" w:hAnsi="Cambria Math" w:cs="Cambria Math"/>
          <w:sz w:val="18"/>
          <w:szCs w:val="18"/>
          <w:lang w:val="en-GB"/>
        </w:rPr>
        <w:t>‑</w:t>
      </w:r>
      <w:r w:rsidRPr="00FC22AA">
        <w:rPr>
          <w:sz w:val="18"/>
          <w:szCs w:val="18"/>
          <w:lang w:val="en-GB"/>
        </w:rPr>
        <w:t xml:space="preserve">recurring items. See the </w:t>
      </w:r>
      <w:r w:rsidRPr="00FC22AA">
        <w:rPr>
          <w:rFonts w:ascii="Calibri" w:hAnsi="Calibri" w:cs="Calibri"/>
          <w:sz w:val="18"/>
          <w:szCs w:val="18"/>
          <w:lang w:val="en-GB"/>
        </w:rPr>
        <w:t>“</w:t>
      </w:r>
      <w:r w:rsidRPr="00FC22AA">
        <w:rPr>
          <w:sz w:val="18"/>
          <w:szCs w:val="18"/>
          <w:lang w:val="en-GB"/>
        </w:rPr>
        <w:t>Ebitda reconciliation</w:t>
      </w:r>
      <w:r w:rsidRPr="00FC22AA">
        <w:rPr>
          <w:rFonts w:ascii="Calibri" w:hAnsi="Calibri" w:cs="Calibri"/>
          <w:sz w:val="18"/>
          <w:szCs w:val="18"/>
          <w:lang w:val="en-GB"/>
        </w:rPr>
        <w:t>”</w:t>
      </w:r>
      <w:r w:rsidRPr="00FC22AA">
        <w:rPr>
          <w:sz w:val="18"/>
          <w:szCs w:val="18"/>
          <w:lang w:val="en-GB"/>
        </w:rPr>
        <w:t xml:space="preserve"> table in Section B of </w:t>
      </w:r>
      <w:proofErr w:type="gramStart"/>
      <w:r w:rsidRPr="00FC22AA">
        <w:rPr>
          <w:sz w:val="18"/>
          <w:szCs w:val="18"/>
          <w:lang w:val="en-GB"/>
        </w:rPr>
        <w:t>this results</w:t>
      </w:r>
      <w:proofErr w:type="gramEnd"/>
      <w:r w:rsidRPr="00FC22AA">
        <w:rPr>
          <w:sz w:val="18"/>
          <w:szCs w:val="18"/>
          <w:lang w:val="en-GB"/>
        </w:rPr>
        <w:t xml:space="preserve"> note.</w:t>
      </w:r>
    </w:p>
    <w:p w14:paraId="002AEFA9" w14:textId="77777777" w:rsidR="00D57461" w:rsidRPr="00FC22AA" w:rsidRDefault="00D57461" w:rsidP="00F62371">
      <w:pPr>
        <w:pStyle w:val="Prrafodelista"/>
        <w:spacing w:after="0" w:line="240" w:lineRule="auto"/>
        <w:ind w:left="993"/>
        <w:rPr>
          <w:sz w:val="20"/>
          <w:szCs w:val="20"/>
          <w:lang w:val="en-GB"/>
        </w:rPr>
      </w:pPr>
    </w:p>
    <w:p w14:paraId="48DD3766" w14:textId="0C1544BE" w:rsidR="004A764E" w:rsidRPr="00FC22AA" w:rsidRDefault="00D57461" w:rsidP="00512461">
      <w:pPr>
        <w:pStyle w:val="Prrafodelista"/>
        <w:keepNext/>
        <w:keepLines/>
        <w:numPr>
          <w:ilvl w:val="0"/>
          <w:numId w:val="2"/>
        </w:numPr>
        <w:spacing w:after="0" w:line="240" w:lineRule="auto"/>
        <w:ind w:left="357" w:hanging="357"/>
        <w:jc w:val="both"/>
        <w:rPr>
          <w:lang w:val="en-GB"/>
        </w:rPr>
      </w:pPr>
      <w:bookmarkStart w:id="2" w:name="_Hlk77099853"/>
      <w:r w:rsidRPr="00FC22AA">
        <w:rPr>
          <w:lang w:val="en-GB"/>
        </w:rPr>
        <w:t xml:space="preserve">Regarding 2024, the reduction in adjusted ebitda in 2025, amounting to EUR </w:t>
      </w:r>
      <w:r w:rsidR="00AE7BA0" w:rsidRPr="00FC22AA">
        <w:rPr>
          <w:lang w:val="en-GB"/>
        </w:rPr>
        <w:t>-</w:t>
      </w:r>
      <w:r w:rsidRPr="00FC22AA">
        <w:rPr>
          <w:lang w:val="en-GB"/>
        </w:rPr>
        <w:t xml:space="preserve">20.83 million, is explained by: (i) the unit contribution effect of EUR </w:t>
      </w:r>
      <w:r w:rsidR="00AE7BA0" w:rsidRPr="00FC22AA">
        <w:rPr>
          <w:lang w:val="en-GB"/>
        </w:rPr>
        <w:t>-</w:t>
      </w:r>
      <w:r w:rsidRPr="00FC22AA">
        <w:rPr>
          <w:lang w:val="en-GB"/>
        </w:rPr>
        <w:t>20.54 million, due to the average selling price falling more than the UVC</w:t>
      </w:r>
      <w:r w:rsidR="006E02D3" w:rsidRPr="00FC22AA">
        <w:rPr>
          <w:lang w:val="en-GB"/>
        </w:rPr>
        <w:t xml:space="preserve">, </w:t>
      </w:r>
      <w:r w:rsidRPr="00FC22AA">
        <w:rPr>
          <w:lang w:val="en-GB"/>
        </w:rPr>
        <w:t xml:space="preserve">accounting for 98.6% of the decrease in ebitda; (ii) the volume effect of EUR </w:t>
      </w:r>
      <w:r w:rsidR="00AE7BA0" w:rsidRPr="00FC22AA">
        <w:rPr>
          <w:lang w:val="en-GB"/>
        </w:rPr>
        <w:t>-</w:t>
      </w:r>
      <w:r w:rsidRPr="00FC22AA">
        <w:rPr>
          <w:lang w:val="en-GB"/>
        </w:rPr>
        <w:t>6.55 million</w:t>
      </w:r>
      <w:r w:rsidR="006E02D3" w:rsidRPr="00FC22AA">
        <w:rPr>
          <w:lang w:val="en-GB"/>
        </w:rPr>
        <w:t>, accounting for</w:t>
      </w:r>
      <w:r w:rsidRPr="00FC22AA">
        <w:rPr>
          <w:lang w:val="en-GB"/>
        </w:rPr>
        <w:t xml:space="preserve"> 31.5%; (iii) the mix effect of EUR 0.60 million</w:t>
      </w:r>
      <w:r w:rsidR="006E02D3" w:rsidRPr="00FC22AA">
        <w:rPr>
          <w:lang w:val="en-GB"/>
        </w:rPr>
        <w:t xml:space="preserve">, accounting for </w:t>
      </w:r>
      <w:r w:rsidR="00AE7BA0" w:rsidRPr="00FC22AA">
        <w:rPr>
          <w:lang w:val="en-GB"/>
        </w:rPr>
        <w:t>-</w:t>
      </w:r>
      <w:r w:rsidRPr="00FC22AA">
        <w:rPr>
          <w:lang w:val="en-GB"/>
        </w:rPr>
        <w:t xml:space="preserve">2.9%; (iv) the increase in personnel costs of EUR </w:t>
      </w:r>
      <w:r w:rsidR="00AE7BA0" w:rsidRPr="00FC22AA">
        <w:rPr>
          <w:lang w:val="en-GB"/>
        </w:rPr>
        <w:t>-</w:t>
      </w:r>
      <w:r w:rsidRPr="00FC22AA">
        <w:rPr>
          <w:lang w:val="en-GB"/>
        </w:rPr>
        <w:t>3.78 million</w:t>
      </w:r>
      <w:r w:rsidR="006E02D3" w:rsidRPr="00FC22AA">
        <w:rPr>
          <w:lang w:val="en-GB"/>
        </w:rPr>
        <w:t xml:space="preserve">, accounting for </w:t>
      </w:r>
      <w:r w:rsidRPr="00FC22AA">
        <w:rPr>
          <w:lang w:val="en-GB"/>
        </w:rPr>
        <w:t>18.1%; (v) the increase in income from indirect CO₂ compensation of EUR 6.39 million</w:t>
      </w:r>
      <w:r w:rsidR="006E02D3" w:rsidRPr="00FC22AA">
        <w:rPr>
          <w:lang w:val="en-GB"/>
        </w:rPr>
        <w:t xml:space="preserve">, accounting for </w:t>
      </w:r>
      <w:r w:rsidR="00AE7BA0" w:rsidRPr="00FC22AA">
        <w:rPr>
          <w:lang w:val="en-GB"/>
        </w:rPr>
        <w:t>-</w:t>
      </w:r>
      <w:r w:rsidRPr="00FC22AA">
        <w:rPr>
          <w:lang w:val="en-GB"/>
        </w:rPr>
        <w:t>30.7%; and (vi) other income and expenses totalling EUR 3.05 million</w:t>
      </w:r>
      <w:r w:rsidR="006E02D3" w:rsidRPr="00FC22AA">
        <w:rPr>
          <w:lang w:val="en-GB"/>
        </w:rPr>
        <w:t xml:space="preserve">, accounting for </w:t>
      </w:r>
      <w:r w:rsidR="00AE7BA0" w:rsidRPr="00FC22AA">
        <w:rPr>
          <w:lang w:val="en-GB"/>
        </w:rPr>
        <w:t>-</w:t>
      </w:r>
      <w:r w:rsidRPr="00FC22AA">
        <w:rPr>
          <w:lang w:val="en-GB"/>
        </w:rPr>
        <w:t>14.6%.</w:t>
      </w:r>
    </w:p>
    <w:p w14:paraId="64EBFF90" w14:textId="149D268F" w:rsidR="00485AC8" w:rsidRPr="00FC22AA" w:rsidRDefault="00485AC8" w:rsidP="00126C64">
      <w:pPr>
        <w:pStyle w:val="Prrafodelista"/>
        <w:spacing w:after="0" w:line="240" w:lineRule="auto"/>
        <w:ind w:left="360"/>
        <w:jc w:val="both"/>
        <w:rPr>
          <w:color w:val="000000" w:themeColor="text1"/>
          <w:lang w:val="en-GB"/>
        </w:rPr>
      </w:pPr>
    </w:p>
    <w:p w14:paraId="415192D9" w14:textId="1B840977" w:rsidR="000A66C5" w:rsidRPr="00FC22AA" w:rsidRDefault="00D57461" w:rsidP="00126C64">
      <w:pPr>
        <w:spacing w:after="0" w:line="240" w:lineRule="auto"/>
        <w:ind w:left="426"/>
        <w:jc w:val="center"/>
        <w:rPr>
          <w:color w:val="000000" w:themeColor="text1"/>
          <w:lang w:val="en-GB"/>
        </w:rPr>
      </w:pPr>
      <w:r w:rsidRPr="00FC22AA">
        <w:rPr>
          <w:noProof/>
          <w:color w:val="000000" w:themeColor="text1"/>
          <w:lang w:val="en-GB"/>
        </w:rPr>
        <w:drawing>
          <wp:inline distT="0" distB="0" distL="0" distR="0" wp14:anchorId="1B8A136D" wp14:editId="7FB7E51A">
            <wp:extent cx="4967470" cy="2844000"/>
            <wp:effectExtent l="0" t="0" r="5080" b="0"/>
            <wp:docPr id="20353276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7470" cy="2844000"/>
                    </a:xfrm>
                    <a:prstGeom prst="rect">
                      <a:avLst/>
                    </a:prstGeom>
                    <a:noFill/>
                  </pic:spPr>
                </pic:pic>
              </a:graphicData>
            </a:graphic>
          </wp:inline>
        </w:drawing>
      </w:r>
    </w:p>
    <w:bookmarkEnd w:id="2"/>
    <w:p w14:paraId="7BECBE55" w14:textId="4D251DDE" w:rsidR="00BF679F" w:rsidRPr="00FC22AA" w:rsidRDefault="00D57461" w:rsidP="00126C64">
      <w:pPr>
        <w:ind w:left="567"/>
        <w:jc w:val="both"/>
        <w:rPr>
          <w:sz w:val="18"/>
          <w:szCs w:val="18"/>
          <w:lang w:val="en-GB"/>
        </w:rPr>
      </w:pPr>
      <w:r w:rsidRPr="00FC22AA">
        <w:rPr>
          <w:sz w:val="18"/>
          <w:szCs w:val="18"/>
          <w:lang w:val="en-GB"/>
        </w:rPr>
        <w:t>Other: change in service provision, other income, fixed costs, and non</w:t>
      </w:r>
      <w:r w:rsidRPr="00FC22AA">
        <w:rPr>
          <w:rFonts w:ascii="Cambria Math" w:hAnsi="Cambria Math" w:cs="Cambria Math"/>
          <w:sz w:val="18"/>
          <w:szCs w:val="18"/>
          <w:lang w:val="en-GB"/>
        </w:rPr>
        <w:t>‑</w:t>
      </w:r>
      <w:r w:rsidRPr="00FC22AA">
        <w:rPr>
          <w:sz w:val="18"/>
          <w:szCs w:val="18"/>
          <w:lang w:val="en-GB"/>
        </w:rPr>
        <w:t xml:space="preserve">recurring items. </w:t>
      </w:r>
    </w:p>
    <w:p w14:paraId="28E1339F" w14:textId="7E00D2A1" w:rsidR="00A14260" w:rsidRPr="00FC22AA" w:rsidRDefault="00D57461" w:rsidP="00D57461">
      <w:pPr>
        <w:pStyle w:val="Prrafodelista"/>
        <w:numPr>
          <w:ilvl w:val="0"/>
          <w:numId w:val="2"/>
        </w:numPr>
        <w:spacing w:after="0" w:line="240" w:lineRule="auto"/>
        <w:ind w:left="360"/>
        <w:jc w:val="both"/>
        <w:rPr>
          <w:lang w:val="en-GB"/>
        </w:rPr>
      </w:pPr>
      <w:r w:rsidRPr="00FC22AA">
        <w:rPr>
          <w:lang w:val="en-GB"/>
        </w:rPr>
        <w:t>The free cash flow (FCF) generated in 2025 amounted to EUR 20.04 million, resulting from adding to ebitda of EUR 7.80 million: (i) the refund of undue payments arising from the unconstitutionality of certain provisions of Royal Decree 3/2016, amounting to EUR 19.80 million; (ii) the collection of subsidies, amounting to EUR 17.79 million; and (iii) the reduction in working capital, of EUR 18.54 million; and subtracting: (i) investments of EUR 29.15 million; (ii) provision payments of EUR 2.93 million; and (iii) net payments for financial costs and income, amounting to EUR 11.81 million.</w:t>
      </w:r>
    </w:p>
    <w:p w14:paraId="33494C15" w14:textId="77777777" w:rsidR="00D57461" w:rsidRPr="00FC22AA" w:rsidRDefault="00D57461" w:rsidP="00A14260">
      <w:pPr>
        <w:pStyle w:val="Prrafodelista"/>
        <w:spacing w:after="0" w:line="240" w:lineRule="auto"/>
        <w:ind w:left="360"/>
        <w:jc w:val="both"/>
        <w:rPr>
          <w:lang w:val="en-GB"/>
        </w:rPr>
      </w:pPr>
    </w:p>
    <w:p w14:paraId="0784EEC2" w14:textId="186820C8" w:rsidR="00CF2024" w:rsidRPr="00FC22AA" w:rsidRDefault="00D57461" w:rsidP="00452230">
      <w:pPr>
        <w:pStyle w:val="Prrafodelista"/>
        <w:spacing w:after="0" w:line="240" w:lineRule="auto"/>
        <w:ind w:left="567"/>
        <w:jc w:val="center"/>
        <w:rPr>
          <w:lang w:val="en-GB"/>
        </w:rPr>
      </w:pPr>
      <w:r w:rsidRPr="00FC22AA">
        <w:rPr>
          <w:noProof/>
          <w:lang w:val="en-GB"/>
        </w:rPr>
        <w:drawing>
          <wp:inline distT="0" distB="0" distL="0" distR="0" wp14:anchorId="5A943133" wp14:editId="106BF379">
            <wp:extent cx="5047615" cy="2883535"/>
            <wp:effectExtent l="0" t="0" r="635" b="0"/>
            <wp:docPr id="110308483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7615" cy="2883535"/>
                    </a:xfrm>
                    <a:prstGeom prst="rect">
                      <a:avLst/>
                    </a:prstGeom>
                    <a:noFill/>
                  </pic:spPr>
                </pic:pic>
              </a:graphicData>
            </a:graphic>
          </wp:inline>
        </w:drawing>
      </w:r>
    </w:p>
    <w:p w14:paraId="42FD6597" w14:textId="7F6EF731" w:rsidR="008F0C2D" w:rsidRPr="00FC22AA" w:rsidRDefault="005915A2" w:rsidP="00126C64">
      <w:pPr>
        <w:pStyle w:val="Prrafodelista"/>
        <w:spacing w:after="0" w:line="240" w:lineRule="auto"/>
        <w:ind w:left="360"/>
        <w:jc w:val="center"/>
        <w:rPr>
          <w:lang w:val="en-GB"/>
        </w:rPr>
      </w:pPr>
      <w:r w:rsidRPr="00FC22AA">
        <w:rPr>
          <w:noProof/>
          <w:lang w:val="en-GB"/>
        </w:rPr>
        <w:t xml:space="preserve"> </w:t>
      </w:r>
    </w:p>
    <w:p w14:paraId="117B5177" w14:textId="77777777" w:rsidR="00E93D56" w:rsidRPr="00FC22AA" w:rsidRDefault="00E93D56" w:rsidP="00A274EE">
      <w:pPr>
        <w:spacing w:after="0" w:line="240" w:lineRule="auto"/>
        <w:jc w:val="both"/>
        <w:rPr>
          <w:lang w:val="en-GB"/>
        </w:rPr>
      </w:pPr>
    </w:p>
    <w:p w14:paraId="6CE77FFC" w14:textId="48940620" w:rsidR="00CF2024" w:rsidRPr="00FC22AA" w:rsidRDefault="00D57461" w:rsidP="00D57461">
      <w:pPr>
        <w:pStyle w:val="Prrafodelista"/>
        <w:numPr>
          <w:ilvl w:val="0"/>
          <w:numId w:val="2"/>
        </w:numPr>
        <w:spacing w:after="0" w:line="240" w:lineRule="auto"/>
        <w:ind w:left="360"/>
        <w:jc w:val="both"/>
        <w:rPr>
          <w:lang w:val="en-GB"/>
        </w:rPr>
      </w:pPr>
      <w:r w:rsidRPr="00FC22AA">
        <w:rPr>
          <w:lang w:val="en-GB"/>
        </w:rPr>
        <w:t>Ercros began 2025 with EUR 133.58 million of net financial debt (NFD). Throughout 2025, debt decreased by EUR 20.04 million due to the positive FCF generated during the period; and increased (i) by EUR 7.01 million from the renewal of leases subject to IFRS 16; (ii) by EUR 0.33 million from shareholder remuneration; and (iii) by EUR 4.</w:t>
      </w:r>
      <w:r w:rsidR="00E26A33" w:rsidRPr="00FC22AA">
        <w:rPr>
          <w:lang w:val="en-GB"/>
        </w:rPr>
        <w:t xml:space="preserve">12 </w:t>
      </w:r>
      <w:r w:rsidRPr="00FC22AA">
        <w:rPr>
          <w:lang w:val="en-GB"/>
        </w:rPr>
        <w:t>million due to other minor factors. In total, Ercros reduced its net financial debt by EUR 8.58 million, bringing it to EUR 125.00 million as of December 31, 2025.</w:t>
      </w:r>
    </w:p>
    <w:p w14:paraId="7E951B0C" w14:textId="77777777" w:rsidR="00D57461" w:rsidRPr="00FC22AA" w:rsidRDefault="00D57461" w:rsidP="00CF2024">
      <w:pPr>
        <w:pStyle w:val="Prrafodelista"/>
        <w:spacing w:after="0" w:line="240" w:lineRule="auto"/>
        <w:ind w:left="357"/>
        <w:jc w:val="both"/>
        <w:rPr>
          <w:lang w:val="en-GB"/>
        </w:rPr>
      </w:pPr>
    </w:p>
    <w:p w14:paraId="1B4504DF" w14:textId="20D29263" w:rsidR="00CF2024" w:rsidRPr="00FC22AA" w:rsidRDefault="00C65EC8" w:rsidP="00A260A5">
      <w:pPr>
        <w:pStyle w:val="Prrafodelista"/>
        <w:spacing w:after="0" w:line="240" w:lineRule="auto"/>
        <w:ind w:left="357"/>
        <w:jc w:val="center"/>
        <w:rPr>
          <w:lang w:val="en-GB"/>
        </w:rPr>
      </w:pPr>
      <w:r w:rsidRPr="00FC22AA">
        <w:rPr>
          <w:noProof/>
          <w:lang w:val="en-GB"/>
        </w:rPr>
        <w:drawing>
          <wp:inline distT="0" distB="0" distL="0" distR="0" wp14:anchorId="5B21703E" wp14:editId="72617BAD">
            <wp:extent cx="5047615" cy="2889885"/>
            <wp:effectExtent l="0" t="0" r="635" b="5715"/>
            <wp:docPr id="14242628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7615" cy="2889885"/>
                    </a:xfrm>
                    <a:prstGeom prst="rect">
                      <a:avLst/>
                    </a:prstGeom>
                    <a:noFill/>
                  </pic:spPr>
                </pic:pic>
              </a:graphicData>
            </a:graphic>
          </wp:inline>
        </w:drawing>
      </w:r>
    </w:p>
    <w:p w14:paraId="4CF25488" w14:textId="586A2DC3" w:rsidR="000A562D" w:rsidRPr="00FC22AA" w:rsidRDefault="000A562D" w:rsidP="00570770">
      <w:pPr>
        <w:spacing w:after="0" w:line="240" w:lineRule="auto"/>
        <w:ind w:left="426"/>
        <w:jc w:val="center"/>
        <w:rPr>
          <w:lang w:val="en-GB"/>
        </w:rPr>
      </w:pPr>
    </w:p>
    <w:p w14:paraId="29583601" w14:textId="2D904764" w:rsidR="00A260A5" w:rsidRPr="00FC22AA" w:rsidRDefault="00D57461" w:rsidP="00D57461">
      <w:pPr>
        <w:pStyle w:val="Prrafodelista"/>
        <w:numPr>
          <w:ilvl w:val="0"/>
          <w:numId w:val="2"/>
        </w:numPr>
        <w:spacing w:after="0" w:line="240" w:lineRule="auto"/>
        <w:ind w:left="360"/>
        <w:jc w:val="both"/>
        <w:rPr>
          <w:lang w:val="en-GB"/>
        </w:rPr>
      </w:pPr>
      <w:r w:rsidRPr="00FC22AA">
        <w:rPr>
          <w:lang w:val="en-GB"/>
        </w:rPr>
        <w:t xml:space="preserve">As of December 31, 2025, Ercros had liquidity amounting to EUR 99.25 million, of which EUR 96.03 million corresponded to cash and EUR 3.22 million to undrawn credit lines. Additionally, as accounts receivable </w:t>
      </w:r>
      <w:r w:rsidR="00C65EC8" w:rsidRPr="00FC22AA">
        <w:rPr>
          <w:lang w:val="en-GB"/>
        </w:rPr>
        <w:t xml:space="preserve">may </w:t>
      </w:r>
      <w:r w:rsidRPr="00FC22AA">
        <w:rPr>
          <w:lang w:val="en-GB"/>
        </w:rPr>
        <w:t xml:space="preserve">increase, Ercros will be able to draw </w:t>
      </w:r>
      <w:r w:rsidR="00277819" w:rsidRPr="00604A82">
        <w:rPr>
          <w:lang w:val="en-GB"/>
        </w:rPr>
        <w:t xml:space="preserve">on the syndicated factoring financing for up to an additional 36 million </w:t>
      </w:r>
      <w:r w:rsidR="003622B4" w:rsidRPr="00604A82">
        <w:rPr>
          <w:lang w:val="en-GB"/>
        </w:rPr>
        <w:t>euros</w:t>
      </w:r>
      <w:r w:rsidR="003622B4" w:rsidRPr="00FC22AA" w:rsidDel="00277819">
        <w:rPr>
          <w:lang w:val="en-GB"/>
        </w:rPr>
        <w:t>.</w:t>
      </w:r>
    </w:p>
    <w:p w14:paraId="6DC78F84" w14:textId="77777777" w:rsidR="00A260A5" w:rsidRPr="00FC22AA" w:rsidRDefault="00A260A5" w:rsidP="00D57461">
      <w:pPr>
        <w:spacing w:after="0" w:line="240" w:lineRule="auto"/>
        <w:jc w:val="both"/>
        <w:rPr>
          <w:lang w:val="en-GB"/>
        </w:rPr>
      </w:pPr>
    </w:p>
    <w:p w14:paraId="65A80BF5" w14:textId="77777777" w:rsidR="0082573E" w:rsidRDefault="0082573E" w:rsidP="0082573E">
      <w:pPr>
        <w:pStyle w:val="Prrafodelista"/>
        <w:spacing w:after="0" w:line="240" w:lineRule="auto"/>
        <w:ind w:left="357"/>
        <w:jc w:val="both"/>
        <w:rPr>
          <w:lang w:val="en-GB"/>
        </w:rPr>
      </w:pPr>
    </w:p>
    <w:p w14:paraId="61A9AAE8" w14:textId="77777777" w:rsidR="00EE5F40" w:rsidRPr="00FC22AA" w:rsidRDefault="00EE5F40" w:rsidP="0082573E">
      <w:pPr>
        <w:pStyle w:val="Prrafodelista"/>
        <w:spacing w:after="0" w:line="240" w:lineRule="auto"/>
        <w:ind w:left="357"/>
        <w:jc w:val="both"/>
        <w:rPr>
          <w:lang w:val="en-GB"/>
        </w:rPr>
      </w:pPr>
    </w:p>
    <w:p w14:paraId="5423E16E" w14:textId="74DCBFBF" w:rsidR="00F41C58" w:rsidRPr="00FC22AA" w:rsidRDefault="00D57461" w:rsidP="007F7646">
      <w:pPr>
        <w:pStyle w:val="Prrafodelista"/>
        <w:numPr>
          <w:ilvl w:val="0"/>
          <w:numId w:val="33"/>
        </w:numPr>
        <w:spacing w:after="0" w:line="240" w:lineRule="auto"/>
        <w:ind w:left="851" w:hanging="567"/>
        <w:rPr>
          <w:b/>
          <w:bCs/>
          <w:lang w:val="en-GB"/>
        </w:rPr>
      </w:pPr>
      <w:r w:rsidRPr="00FC22AA">
        <w:rPr>
          <w:b/>
          <w:bCs/>
          <w:lang w:val="en-GB"/>
        </w:rPr>
        <w:t>INTERIM FINANCIAL STATEMENTS</w:t>
      </w:r>
    </w:p>
    <w:p w14:paraId="60905F6E" w14:textId="77777777" w:rsidR="00D57461" w:rsidRPr="00FC22AA" w:rsidRDefault="00D57461" w:rsidP="00F41C58">
      <w:pPr>
        <w:spacing w:after="0" w:line="240" w:lineRule="auto"/>
        <w:contextualSpacing/>
        <w:jc w:val="both"/>
        <w:rPr>
          <w:color w:val="000000" w:themeColor="text1"/>
          <w:lang w:val="en-GB"/>
        </w:rPr>
      </w:pPr>
    </w:p>
    <w:p w14:paraId="4E593246" w14:textId="77777777" w:rsidR="007F7646" w:rsidRPr="00FC22AA" w:rsidRDefault="007F7646" w:rsidP="007F7646">
      <w:pPr>
        <w:spacing w:after="0" w:line="240" w:lineRule="auto"/>
        <w:contextualSpacing/>
        <w:jc w:val="both"/>
        <w:rPr>
          <w:b/>
          <w:bCs/>
          <w:color w:val="000000" w:themeColor="text1"/>
          <w:lang w:val="en-GB"/>
        </w:rPr>
      </w:pPr>
      <w:r w:rsidRPr="00FC22AA">
        <w:rPr>
          <w:b/>
          <w:bCs/>
          <w:color w:val="000000" w:themeColor="text1"/>
          <w:lang w:val="en-GB"/>
        </w:rPr>
        <w:t>Income statement</w:t>
      </w:r>
    </w:p>
    <w:p w14:paraId="3B9D5570" w14:textId="77777777" w:rsidR="00F41C58" w:rsidRPr="00FC22AA" w:rsidRDefault="00F41C58" w:rsidP="00F41C58">
      <w:pPr>
        <w:spacing w:after="0" w:line="240" w:lineRule="auto"/>
        <w:contextualSpacing/>
        <w:jc w:val="both"/>
        <w:rPr>
          <w:b/>
          <w:bCs/>
          <w:color w:val="000000" w:themeColor="text1"/>
          <w:lang w:val="en-GB"/>
        </w:rPr>
      </w:pPr>
    </w:p>
    <w:p w14:paraId="44563487" w14:textId="77777777"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Regarding the 2025 result, and in addition to what is indicated in Section A of this note, the following should be highlighted:</w:t>
      </w:r>
    </w:p>
    <w:p w14:paraId="6A7360A8" w14:textId="77777777" w:rsidR="007F7646" w:rsidRPr="00FC22AA" w:rsidRDefault="007F7646" w:rsidP="007F7646">
      <w:pPr>
        <w:spacing w:after="0" w:line="240" w:lineRule="auto"/>
        <w:contextualSpacing/>
        <w:jc w:val="both"/>
        <w:rPr>
          <w:color w:val="000000" w:themeColor="text1"/>
          <w:lang w:val="en-GB"/>
        </w:rPr>
      </w:pPr>
    </w:p>
    <w:p w14:paraId="3A29FB0E" w14:textId="528ADEB2"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 xml:space="preserve">The service provision line decreased by 2.2%. </w:t>
      </w:r>
      <w:r w:rsidR="00277819" w:rsidRPr="00FC22AA">
        <w:rPr>
          <w:color w:val="000000" w:themeColor="text1"/>
          <w:lang w:val="en-GB"/>
        </w:rPr>
        <w:t>Other income increased by 33.4%, mainly due to the rise in compensation for indirect CO₂ emissions, which was granted in the amount of EUR 6.39 million</w:t>
      </w:r>
      <w:r w:rsidRPr="00FC22AA">
        <w:rPr>
          <w:color w:val="000000" w:themeColor="text1"/>
          <w:lang w:val="en-GB"/>
        </w:rPr>
        <w:t>.</w:t>
      </w:r>
    </w:p>
    <w:p w14:paraId="03E5E12A" w14:textId="77777777" w:rsidR="00C65EC8" w:rsidRPr="00FC22AA" w:rsidRDefault="00C65EC8" w:rsidP="007F7646">
      <w:pPr>
        <w:spacing w:after="0" w:line="240" w:lineRule="auto"/>
        <w:contextualSpacing/>
        <w:jc w:val="both"/>
        <w:rPr>
          <w:color w:val="000000" w:themeColor="text1"/>
          <w:lang w:val="en-GB"/>
        </w:rPr>
      </w:pPr>
    </w:p>
    <w:p w14:paraId="77912405" w14:textId="77777777"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The reversal of provisions and other non</w:t>
      </w:r>
      <w:r w:rsidRPr="00FC22AA">
        <w:rPr>
          <w:color w:val="000000" w:themeColor="text1"/>
          <w:lang w:val="en-GB"/>
        </w:rPr>
        <w:noBreakHyphen/>
        <w:t>recurring income mainly includes insurance compensation income of EUR 0.35 million and the reversal of provisions of EUR 0.40 million (the 2024 amount mainly included income from the settlement of a dispute with a supplier).</w:t>
      </w:r>
    </w:p>
    <w:p w14:paraId="011376C6" w14:textId="77777777" w:rsidR="007F7646" w:rsidRPr="00FC22AA" w:rsidRDefault="007F7646" w:rsidP="007F7646">
      <w:pPr>
        <w:spacing w:after="0" w:line="240" w:lineRule="auto"/>
        <w:contextualSpacing/>
        <w:jc w:val="both"/>
        <w:rPr>
          <w:color w:val="000000" w:themeColor="text1"/>
          <w:lang w:val="en-GB"/>
        </w:rPr>
      </w:pPr>
    </w:p>
    <w:p w14:paraId="7B1AADBA" w14:textId="55B76553" w:rsidR="00277819" w:rsidRPr="00FC22AA" w:rsidRDefault="007F7646" w:rsidP="007F7646">
      <w:pPr>
        <w:spacing w:after="0" w:line="240" w:lineRule="auto"/>
        <w:contextualSpacing/>
        <w:jc w:val="both"/>
        <w:rPr>
          <w:color w:val="000000" w:themeColor="text1"/>
          <w:lang w:val="en-GB"/>
        </w:rPr>
      </w:pPr>
      <w:r w:rsidRPr="00FC22AA">
        <w:rPr>
          <w:color w:val="000000" w:themeColor="text1"/>
          <w:lang w:val="en-GB"/>
        </w:rPr>
        <w:t xml:space="preserve">The combined </w:t>
      </w:r>
      <w:proofErr w:type="gramStart"/>
      <w:r w:rsidRPr="00FC22AA">
        <w:rPr>
          <w:color w:val="000000" w:themeColor="text1"/>
          <w:lang w:val="en-GB"/>
        </w:rPr>
        <w:t>amount</w:t>
      </w:r>
      <w:proofErr w:type="gramEnd"/>
      <w:r w:rsidRPr="00FC22AA">
        <w:rPr>
          <w:color w:val="000000" w:themeColor="text1"/>
          <w:lang w:val="en-GB"/>
        </w:rPr>
        <w:t xml:space="preserve"> of procurements and the change in inventories of finished goods decreased by 6.0%. Supplies, meanwhile, increased by 4.7%, mainly due to higher electricity costs (12.5%) </w:t>
      </w:r>
      <w:r w:rsidR="00277819" w:rsidRPr="00FC22AA">
        <w:rPr>
          <w:color w:val="000000" w:themeColor="text1"/>
          <w:lang w:val="en-GB"/>
        </w:rPr>
        <w:t>while gas decreased (</w:t>
      </w:r>
      <w:r w:rsidR="00277819" w:rsidRPr="00FC22AA">
        <w:rPr>
          <w:rFonts w:ascii="Cambria Math" w:hAnsi="Cambria Math" w:cs="Cambria Math"/>
          <w:color w:val="000000" w:themeColor="text1"/>
          <w:lang w:val="en-GB"/>
        </w:rPr>
        <w:t>‑</w:t>
      </w:r>
      <w:r w:rsidR="00277819" w:rsidRPr="00FC22AA">
        <w:rPr>
          <w:color w:val="000000" w:themeColor="text1"/>
          <w:lang w:val="en-GB"/>
        </w:rPr>
        <w:t>5.7%)</w:t>
      </w:r>
    </w:p>
    <w:p w14:paraId="00D03530" w14:textId="77777777" w:rsidR="007F7646" w:rsidRPr="00FC22AA" w:rsidRDefault="007F7646" w:rsidP="007F7646">
      <w:pPr>
        <w:spacing w:after="0" w:line="240" w:lineRule="auto"/>
        <w:contextualSpacing/>
        <w:jc w:val="both"/>
        <w:rPr>
          <w:color w:val="000000" w:themeColor="text1"/>
          <w:lang w:val="en-GB"/>
        </w:rPr>
      </w:pPr>
    </w:p>
    <w:p w14:paraId="5D5ABE0B" w14:textId="62C02820"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Personnel expenses increased by 3.7%, mainly due to the wage increase agreed in the collective bargaining agreement (3%) and the rise in social security contributions and other social charges.</w:t>
      </w:r>
    </w:p>
    <w:p w14:paraId="43FEB018" w14:textId="77777777" w:rsidR="007F7646" w:rsidRPr="00FC22AA" w:rsidRDefault="007F7646" w:rsidP="007F7646">
      <w:pPr>
        <w:spacing w:after="0" w:line="240" w:lineRule="auto"/>
        <w:contextualSpacing/>
        <w:jc w:val="both"/>
        <w:rPr>
          <w:color w:val="000000" w:themeColor="text1"/>
          <w:lang w:val="en-GB"/>
        </w:rPr>
      </w:pPr>
    </w:p>
    <w:p w14:paraId="7D3992A5" w14:textId="46A1B08B"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The allocation to provisions and other extraordinary expenses decreased by 43.6% due to fewer claims and environmental remediations.</w:t>
      </w:r>
    </w:p>
    <w:p w14:paraId="49AE8143" w14:textId="77777777" w:rsidR="007F7646" w:rsidRPr="00FC22AA" w:rsidRDefault="007F7646" w:rsidP="007F7646">
      <w:pPr>
        <w:spacing w:after="0" w:line="240" w:lineRule="auto"/>
        <w:contextualSpacing/>
        <w:jc w:val="both"/>
        <w:rPr>
          <w:color w:val="000000" w:themeColor="text1"/>
          <w:lang w:val="en-GB"/>
        </w:rPr>
      </w:pPr>
    </w:p>
    <w:p w14:paraId="24BBBE4D" w14:textId="4E951E0C"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 xml:space="preserve">Depreciation increased by 9.3% </w:t>
      </w:r>
      <w:proofErr w:type="gramStart"/>
      <w:r w:rsidRPr="00FC22AA">
        <w:rPr>
          <w:color w:val="000000" w:themeColor="text1"/>
          <w:lang w:val="en-GB"/>
        </w:rPr>
        <w:t>as a result of</w:t>
      </w:r>
      <w:proofErr w:type="gramEnd"/>
      <w:r w:rsidRPr="00FC22AA">
        <w:rPr>
          <w:color w:val="000000" w:themeColor="text1"/>
          <w:lang w:val="en-GB"/>
        </w:rPr>
        <w:t xml:space="preserve"> the investments made.</w:t>
      </w:r>
    </w:p>
    <w:p w14:paraId="1AFE647D" w14:textId="77777777" w:rsidR="007F7646" w:rsidRPr="00FC22AA" w:rsidRDefault="007F7646" w:rsidP="007F7646">
      <w:pPr>
        <w:spacing w:after="0" w:line="240" w:lineRule="auto"/>
        <w:contextualSpacing/>
        <w:jc w:val="both"/>
        <w:rPr>
          <w:color w:val="000000" w:themeColor="text1"/>
          <w:lang w:val="en-GB"/>
        </w:rPr>
      </w:pPr>
    </w:p>
    <w:p w14:paraId="51805B46" w14:textId="459EC7B7"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 xml:space="preserve">Negative financial results increased by 33.0%, mainly due to higher negative exchange differences, which in absolute terms </w:t>
      </w:r>
      <w:r w:rsidR="00277819" w:rsidRPr="00FC22AA">
        <w:rPr>
          <w:color w:val="000000" w:themeColor="text1"/>
          <w:lang w:val="en-GB"/>
        </w:rPr>
        <w:t>has r</w:t>
      </w:r>
      <w:r w:rsidRPr="00FC22AA">
        <w:rPr>
          <w:color w:val="000000" w:themeColor="text1"/>
          <w:lang w:val="en-GB"/>
        </w:rPr>
        <w:t xml:space="preserve">epresented an increase of EUR 4.01 million. Excluding exchange differences, financial results </w:t>
      </w:r>
      <w:r w:rsidR="00277819" w:rsidRPr="00FC22AA">
        <w:rPr>
          <w:color w:val="000000" w:themeColor="text1"/>
          <w:lang w:val="en-GB"/>
        </w:rPr>
        <w:t>have</w:t>
      </w:r>
      <w:r w:rsidRPr="00FC22AA">
        <w:rPr>
          <w:color w:val="000000" w:themeColor="text1"/>
          <w:lang w:val="en-GB"/>
        </w:rPr>
        <w:t xml:space="preserve"> decreased by 9.7%.</w:t>
      </w:r>
    </w:p>
    <w:p w14:paraId="3D8F8F5C" w14:textId="77777777" w:rsidR="007F7646" w:rsidRPr="00FC22AA" w:rsidRDefault="007F7646" w:rsidP="007F7646">
      <w:pPr>
        <w:spacing w:after="0" w:line="240" w:lineRule="auto"/>
        <w:contextualSpacing/>
        <w:jc w:val="both"/>
        <w:rPr>
          <w:color w:val="000000" w:themeColor="text1"/>
          <w:lang w:val="en-GB"/>
        </w:rPr>
      </w:pPr>
    </w:p>
    <w:p w14:paraId="443A7B53" w14:textId="2C61C356" w:rsidR="007F7646" w:rsidRPr="00FC22AA" w:rsidRDefault="007F7646" w:rsidP="007F7646">
      <w:pPr>
        <w:spacing w:after="0" w:line="240" w:lineRule="auto"/>
        <w:contextualSpacing/>
        <w:jc w:val="both"/>
        <w:rPr>
          <w:color w:val="000000" w:themeColor="text1"/>
          <w:lang w:val="en-GB"/>
        </w:rPr>
      </w:pPr>
      <w:r w:rsidRPr="00FC22AA">
        <w:rPr>
          <w:color w:val="000000" w:themeColor="text1"/>
          <w:lang w:val="en-GB"/>
        </w:rPr>
        <w:t>Income tax expense includes EUR 12.13 million of deferred tax expense arising from the reduction of the deferred tax asset.</w:t>
      </w:r>
    </w:p>
    <w:p w14:paraId="551A54C1" w14:textId="77777777" w:rsidR="00F41C58" w:rsidRPr="00FC22AA" w:rsidRDefault="00F41C58" w:rsidP="00F41C58">
      <w:pPr>
        <w:spacing w:after="0" w:line="240" w:lineRule="auto"/>
        <w:contextualSpacing/>
        <w:jc w:val="both"/>
        <w:rPr>
          <w:color w:val="000000" w:themeColor="text1"/>
          <w:lang w:val="en-GB"/>
        </w:rPr>
      </w:pPr>
    </w:p>
    <w:p w14:paraId="1E5A14E4" w14:textId="2A231389" w:rsidR="00F41C58" w:rsidRPr="00FC22AA" w:rsidRDefault="007F7646" w:rsidP="00F41C58">
      <w:pPr>
        <w:keepNext/>
        <w:keepLines/>
        <w:spacing w:after="0" w:line="240" w:lineRule="auto"/>
        <w:contextualSpacing/>
        <w:jc w:val="both"/>
        <w:rPr>
          <w:b/>
          <w:bCs/>
          <w:u w:val="single"/>
          <w:lang w:val="en-GB"/>
        </w:rPr>
      </w:pPr>
      <w:r w:rsidRPr="00FC22AA">
        <w:rPr>
          <w:b/>
          <w:bCs/>
          <w:u w:val="single"/>
          <w:lang w:val="en-GB"/>
        </w:rPr>
        <w:t>INCOME STATEMENT</w:t>
      </w:r>
    </w:p>
    <w:p w14:paraId="13408510" w14:textId="77777777" w:rsidR="007F7646" w:rsidRPr="00FC22AA" w:rsidRDefault="007F7646" w:rsidP="00F41C58">
      <w:pPr>
        <w:keepNext/>
        <w:keepLines/>
        <w:spacing w:after="0" w:line="240" w:lineRule="auto"/>
        <w:contextualSpacing/>
        <w:jc w:val="both"/>
        <w:rPr>
          <w:rFonts w:cstheme="minorHAnsi"/>
          <w:lang w:val="en-GB"/>
        </w:rPr>
      </w:pPr>
    </w:p>
    <w:tbl>
      <w:tblPr>
        <w:tblW w:w="8523" w:type="dxa"/>
        <w:tblLayout w:type="fixed"/>
        <w:tblCellMar>
          <w:left w:w="70" w:type="dxa"/>
          <w:right w:w="70" w:type="dxa"/>
        </w:tblCellMar>
        <w:tblLook w:val="04A0" w:firstRow="1" w:lastRow="0" w:firstColumn="1" w:lastColumn="0" w:noHBand="0" w:noVBand="1"/>
      </w:tblPr>
      <w:tblGrid>
        <w:gridCol w:w="1131"/>
        <w:gridCol w:w="3972"/>
        <w:gridCol w:w="1284"/>
        <w:gridCol w:w="1285"/>
        <w:gridCol w:w="851"/>
      </w:tblGrid>
      <w:tr w:rsidR="00660546" w:rsidRPr="00FC22AA" w14:paraId="74F0EA01" w14:textId="77777777" w:rsidTr="00660546">
        <w:trPr>
          <w:trHeight w:val="20"/>
        </w:trPr>
        <w:tc>
          <w:tcPr>
            <w:tcW w:w="5103" w:type="dxa"/>
            <w:gridSpan w:val="2"/>
            <w:tcBorders>
              <w:left w:val="nil"/>
              <w:bottom w:val="single" w:sz="8" w:space="0" w:color="auto"/>
              <w:right w:val="nil"/>
            </w:tcBorders>
            <w:noWrap/>
            <w:vAlign w:val="bottom"/>
            <w:hideMark/>
          </w:tcPr>
          <w:p w14:paraId="00E0441A" w14:textId="16746B2C" w:rsidR="00997E25" w:rsidRPr="00FC22AA" w:rsidRDefault="007F7646" w:rsidP="00997E25">
            <w:pPr>
              <w:keepNext/>
              <w:keepLines/>
              <w:spacing w:after="0" w:line="240" w:lineRule="auto"/>
              <w:rPr>
                <w:rFonts w:eastAsia="Times New Roman" w:cstheme="minorHAnsi"/>
                <w:b/>
                <w:bCs/>
                <w:lang w:val="en-GB" w:eastAsia="es-ES"/>
              </w:rPr>
            </w:pPr>
            <w:r w:rsidRPr="00FC22AA">
              <w:rPr>
                <w:rFonts w:eastAsia="Times New Roman" w:cstheme="minorHAnsi"/>
                <w:b/>
                <w:bCs/>
                <w:lang w:val="en-GB" w:eastAsia="es-ES"/>
              </w:rPr>
              <w:t>Thousands of euros</w:t>
            </w:r>
          </w:p>
        </w:tc>
        <w:tc>
          <w:tcPr>
            <w:tcW w:w="1284" w:type="dxa"/>
            <w:tcBorders>
              <w:left w:val="nil"/>
              <w:bottom w:val="single" w:sz="8" w:space="0" w:color="auto"/>
              <w:right w:val="nil"/>
            </w:tcBorders>
            <w:vAlign w:val="bottom"/>
            <w:hideMark/>
          </w:tcPr>
          <w:p w14:paraId="36A141AF" w14:textId="515160D9" w:rsidR="00997E25" w:rsidRPr="00FC22AA" w:rsidRDefault="00BB69A6" w:rsidP="00223B8A">
            <w:pPr>
              <w:pStyle w:val="Ttulo3"/>
              <w:rPr>
                <w:color w:val="auto"/>
                <w:lang w:val="en-GB"/>
              </w:rPr>
            </w:pPr>
            <w:r w:rsidRPr="00FC22AA">
              <w:rPr>
                <w:color w:val="auto"/>
                <w:lang w:val="en-GB"/>
              </w:rPr>
              <w:t>20</w:t>
            </w:r>
            <w:r w:rsidR="00CF50D4" w:rsidRPr="00FC22AA">
              <w:rPr>
                <w:color w:val="auto"/>
                <w:lang w:val="en-GB"/>
              </w:rPr>
              <w:t>25</w:t>
            </w:r>
          </w:p>
        </w:tc>
        <w:tc>
          <w:tcPr>
            <w:tcW w:w="1285" w:type="dxa"/>
            <w:tcBorders>
              <w:left w:val="nil"/>
              <w:bottom w:val="single" w:sz="8" w:space="0" w:color="auto"/>
              <w:right w:val="nil"/>
            </w:tcBorders>
            <w:vAlign w:val="bottom"/>
            <w:hideMark/>
          </w:tcPr>
          <w:p w14:paraId="63619ECE" w14:textId="35CF63A8" w:rsidR="00997E25" w:rsidRPr="00FC22AA" w:rsidRDefault="00BB69A6" w:rsidP="00997E25">
            <w:pPr>
              <w:pStyle w:val="Ttulo3"/>
              <w:rPr>
                <w:color w:val="auto"/>
                <w:lang w:val="en-GB"/>
              </w:rPr>
            </w:pPr>
            <w:r w:rsidRPr="00FC22AA">
              <w:rPr>
                <w:color w:val="auto"/>
                <w:lang w:val="en-GB"/>
              </w:rPr>
              <w:t>20</w:t>
            </w:r>
            <w:r w:rsidR="00997E25" w:rsidRPr="00FC22AA">
              <w:rPr>
                <w:color w:val="auto"/>
                <w:lang w:val="en-GB"/>
              </w:rPr>
              <w:t>2</w:t>
            </w:r>
            <w:r w:rsidR="009F5687" w:rsidRPr="00FC22AA">
              <w:rPr>
                <w:color w:val="auto"/>
                <w:lang w:val="en-GB"/>
              </w:rPr>
              <w:t>4</w:t>
            </w:r>
          </w:p>
        </w:tc>
        <w:tc>
          <w:tcPr>
            <w:tcW w:w="851" w:type="dxa"/>
            <w:tcBorders>
              <w:left w:val="nil"/>
              <w:bottom w:val="single" w:sz="8" w:space="0" w:color="auto"/>
              <w:right w:val="nil"/>
            </w:tcBorders>
            <w:vAlign w:val="bottom"/>
            <w:hideMark/>
          </w:tcPr>
          <w:p w14:paraId="33162E09" w14:textId="77777777" w:rsidR="00997E25" w:rsidRPr="00FC22AA" w:rsidRDefault="00997E25" w:rsidP="00997E25">
            <w:pPr>
              <w:keepNext/>
              <w:keepLines/>
              <w:spacing w:after="0" w:line="240" w:lineRule="auto"/>
              <w:ind w:left="-7"/>
              <w:jc w:val="center"/>
              <w:rPr>
                <w:rFonts w:eastAsia="Times New Roman" w:cstheme="minorHAnsi"/>
                <w:b/>
                <w:bCs/>
                <w:lang w:val="en-GB" w:eastAsia="es-ES"/>
              </w:rPr>
            </w:pPr>
            <w:r w:rsidRPr="00FC22AA">
              <w:rPr>
                <w:rFonts w:eastAsia="Times New Roman" w:cstheme="minorHAnsi"/>
                <w:b/>
                <w:bCs/>
                <w:lang w:val="en-GB" w:eastAsia="es-ES"/>
              </w:rPr>
              <w:t>%</w:t>
            </w:r>
          </w:p>
        </w:tc>
      </w:tr>
      <w:tr w:rsidR="00660546" w:rsidRPr="00FC22AA" w14:paraId="7495F0CE" w14:textId="77777777" w:rsidTr="00660546">
        <w:trPr>
          <w:trHeight w:val="20"/>
        </w:trPr>
        <w:tc>
          <w:tcPr>
            <w:tcW w:w="5103" w:type="dxa"/>
            <w:gridSpan w:val="2"/>
            <w:tcBorders>
              <w:top w:val="single" w:sz="8" w:space="0" w:color="auto"/>
              <w:left w:val="nil"/>
              <w:right w:val="nil"/>
            </w:tcBorders>
            <w:noWrap/>
            <w:vAlign w:val="bottom"/>
          </w:tcPr>
          <w:p w14:paraId="4BE81EC7" w14:textId="77777777" w:rsidR="00A74883" w:rsidRPr="00FC22AA" w:rsidRDefault="00A74883" w:rsidP="00997E25">
            <w:pPr>
              <w:keepNext/>
              <w:keepLines/>
              <w:spacing w:after="0" w:line="240" w:lineRule="auto"/>
              <w:rPr>
                <w:rFonts w:eastAsia="Times New Roman" w:cstheme="minorHAnsi"/>
                <w:b/>
                <w:bCs/>
                <w:lang w:val="en-GB" w:eastAsia="es-ES"/>
              </w:rPr>
            </w:pPr>
          </w:p>
        </w:tc>
        <w:tc>
          <w:tcPr>
            <w:tcW w:w="1284" w:type="dxa"/>
            <w:tcBorders>
              <w:top w:val="single" w:sz="8" w:space="0" w:color="auto"/>
              <w:left w:val="nil"/>
              <w:right w:val="nil"/>
            </w:tcBorders>
            <w:vAlign w:val="bottom"/>
          </w:tcPr>
          <w:p w14:paraId="22F19608" w14:textId="77777777" w:rsidR="00A74883" w:rsidRPr="00FC22AA" w:rsidRDefault="00A74883" w:rsidP="00570770">
            <w:pPr>
              <w:pStyle w:val="Ttulo3"/>
              <w:ind w:right="227"/>
              <w:rPr>
                <w:color w:val="auto"/>
                <w:lang w:val="en-GB"/>
              </w:rPr>
            </w:pPr>
          </w:p>
        </w:tc>
        <w:tc>
          <w:tcPr>
            <w:tcW w:w="1285" w:type="dxa"/>
            <w:tcBorders>
              <w:top w:val="single" w:sz="8" w:space="0" w:color="auto"/>
              <w:left w:val="nil"/>
              <w:right w:val="nil"/>
            </w:tcBorders>
            <w:vAlign w:val="bottom"/>
          </w:tcPr>
          <w:p w14:paraId="29156D4D" w14:textId="77777777" w:rsidR="00A74883" w:rsidRPr="00FC22AA" w:rsidRDefault="00A74883" w:rsidP="00997E25">
            <w:pPr>
              <w:pStyle w:val="Ttulo3"/>
              <w:rPr>
                <w:color w:val="auto"/>
                <w:lang w:val="en-GB"/>
              </w:rPr>
            </w:pPr>
          </w:p>
        </w:tc>
        <w:tc>
          <w:tcPr>
            <w:tcW w:w="851" w:type="dxa"/>
            <w:tcBorders>
              <w:top w:val="single" w:sz="8" w:space="0" w:color="auto"/>
              <w:left w:val="nil"/>
              <w:right w:val="nil"/>
            </w:tcBorders>
            <w:vAlign w:val="bottom"/>
          </w:tcPr>
          <w:p w14:paraId="360EE5E2" w14:textId="77777777" w:rsidR="00A74883" w:rsidRPr="00FC22AA" w:rsidRDefault="00A74883" w:rsidP="00997E25">
            <w:pPr>
              <w:keepNext/>
              <w:keepLines/>
              <w:spacing w:after="0" w:line="240" w:lineRule="auto"/>
              <w:ind w:left="-7"/>
              <w:jc w:val="center"/>
              <w:rPr>
                <w:rFonts w:eastAsia="Times New Roman" w:cstheme="minorHAnsi"/>
                <w:b/>
                <w:bCs/>
                <w:lang w:val="en-GB" w:eastAsia="es-ES"/>
              </w:rPr>
            </w:pPr>
          </w:p>
        </w:tc>
      </w:tr>
      <w:tr w:rsidR="00660546" w:rsidRPr="00FC22AA" w14:paraId="128A1C72" w14:textId="77777777" w:rsidTr="00660546">
        <w:trPr>
          <w:trHeight w:val="20"/>
        </w:trPr>
        <w:tc>
          <w:tcPr>
            <w:tcW w:w="1131" w:type="dxa"/>
            <w:tcBorders>
              <w:left w:val="nil"/>
              <w:bottom w:val="single" w:sz="6" w:space="0" w:color="auto"/>
              <w:right w:val="nil"/>
            </w:tcBorders>
            <w:noWrap/>
            <w:vAlign w:val="bottom"/>
            <w:hideMark/>
          </w:tcPr>
          <w:p w14:paraId="594E274A" w14:textId="2EBB5FCB" w:rsidR="00997E25" w:rsidRPr="00FC22AA" w:rsidRDefault="007F7646" w:rsidP="00570770">
            <w:pPr>
              <w:keepNext/>
              <w:keepLines/>
              <w:spacing w:after="0" w:line="240" w:lineRule="auto"/>
              <w:ind w:right="227"/>
              <w:rPr>
                <w:rFonts w:eastAsia="Times New Roman" w:cstheme="minorHAnsi"/>
                <w:b/>
                <w:bCs/>
                <w:lang w:val="en-GB" w:eastAsia="es-ES"/>
              </w:rPr>
            </w:pPr>
            <w:r w:rsidRPr="00FC22AA">
              <w:rPr>
                <w:rFonts w:eastAsia="Times New Roman" w:cstheme="minorHAnsi"/>
                <w:b/>
                <w:bCs/>
                <w:lang w:val="en-GB" w:eastAsia="es-ES"/>
              </w:rPr>
              <w:t>Income</w:t>
            </w:r>
          </w:p>
        </w:tc>
        <w:tc>
          <w:tcPr>
            <w:tcW w:w="3972" w:type="dxa"/>
            <w:tcBorders>
              <w:left w:val="nil"/>
              <w:bottom w:val="single" w:sz="6" w:space="0" w:color="auto"/>
              <w:right w:val="nil"/>
            </w:tcBorders>
            <w:noWrap/>
            <w:vAlign w:val="bottom"/>
            <w:hideMark/>
          </w:tcPr>
          <w:p w14:paraId="264636B3" w14:textId="77777777" w:rsidR="00997E25" w:rsidRPr="00FC22AA" w:rsidRDefault="00997E25" w:rsidP="00997E25">
            <w:pPr>
              <w:keepNext/>
              <w:keepLines/>
              <w:spacing w:after="0" w:line="240" w:lineRule="auto"/>
              <w:ind w:right="171"/>
              <w:rPr>
                <w:rFonts w:eastAsia="Times New Roman" w:cstheme="minorHAnsi"/>
                <w:lang w:val="en-GB" w:eastAsia="es-ES"/>
              </w:rPr>
            </w:pPr>
            <w:r w:rsidRPr="00FC22AA">
              <w:rPr>
                <w:rFonts w:eastAsia="Times New Roman" w:cstheme="minorHAnsi"/>
                <w:lang w:val="en-GB" w:eastAsia="es-ES"/>
              </w:rPr>
              <w:t> </w:t>
            </w:r>
          </w:p>
        </w:tc>
        <w:tc>
          <w:tcPr>
            <w:tcW w:w="1284" w:type="dxa"/>
            <w:tcBorders>
              <w:left w:val="nil"/>
              <w:bottom w:val="single" w:sz="6" w:space="0" w:color="auto"/>
              <w:right w:val="nil"/>
            </w:tcBorders>
            <w:noWrap/>
            <w:hideMark/>
          </w:tcPr>
          <w:p w14:paraId="6EAD2B52" w14:textId="37074375" w:rsidR="00997E25" w:rsidRPr="00FC22AA" w:rsidRDefault="0060570D" w:rsidP="00CA700E">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662</w:t>
            </w:r>
            <w:r w:rsidR="0068522A" w:rsidRPr="00FC22AA">
              <w:rPr>
                <w:rFonts w:eastAsia="Times New Roman" w:cstheme="minorHAnsi"/>
                <w:b/>
                <w:bCs/>
                <w:lang w:val="en-GB" w:eastAsia="es-ES"/>
              </w:rPr>
              <w:t>,</w:t>
            </w:r>
            <w:r w:rsidRPr="00FC22AA">
              <w:rPr>
                <w:rFonts w:eastAsia="Times New Roman" w:cstheme="minorHAnsi"/>
                <w:b/>
                <w:bCs/>
                <w:lang w:val="en-GB" w:eastAsia="es-ES"/>
              </w:rPr>
              <w:t>791</w:t>
            </w:r>
          </w:p>
        </w:tc>
        <w:tc>
          <w:tcPr>
            <w:tcW w:w="1285" w:type="dxa"/>
            <w:tcBorders>
              <w:left w:val="nil"/>
              <w:bottom w:val="single" w:sz="6" w:space="0" w:color="auto"/>
              <w:right w:val="nil"/>
            </w:tcBorders>
            <w:noWrap/>
            <w:hideMark/>
          </w:tcPr>
          <w:p w14:paraId="0463CEC5" w14:textId="411F9D5E" w:rsidR="00997E25" w:rsidRPr="00FC22AA" w:rsidRDefault="00314BA8" w:rsidP="00CA700E">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700</w:t>
            </w:r>
            <w:r w:rsidR="0068522A" w:rsidRPr="00FC22AA">
              <w:rPr>
                <w:rFonts w:eastAsia="Times New Roman" w:cstheme="minorHAnsi"/>
                <w:b/>
                <w:bCs/>
                <w:lang w:val="en-GB" w:eastAsia="es-ES"/>
              </w:rPr>
              <w:t>,</w:t>
            </w:r>
            <w:r w:rsidRPr="00FC22AA">
              <w:rPr>
                <w:rFonts w:eastAsia="Times New Roman" w:cstheme="minorHAnsi"/>
                <w:b/>
                <w:bCs/>
                <w:lang w:val="en-GB" w:eastAsia="es-ES"/>
              </w:rPr>
              <w:t>358</w:t>
            </w:r>
          </w:p>
        </w:tc>
        <w:tc>
          <w:tcPr>
            <w:tcW w:w="851" w:type="dxa"/>
            <w:tcBorders>
              <w:left w:val="nil"/>
              <w:bottom w:val="single" w:sz="6" w:space="0" w:color="auto"/>
              <w:right w:val="nil"/>
            </w:tcBorders>
            <w:noWrap/>
            <w:hideMark/>
          </w:tcPr>
          <w:p w14:paraId="0400174A" w14:textId="53F71CD4" w:rsidR="00997E25" w:rsidRPr="00FC22AA" w:rsidRDefault="005B4E34" w:rsidP="00126C64">
            <w:pPr>
              <w:keepNext/>
              <w:keepLines/>
              <w:spacing w:after="0" w:line="240" w:lineRule="auto"/>
              <w:ind w:right="170"/>
              <w:jc w:val="right"/>
              <w:rPr>
                <w:rFonts w:eastAsia="Times New Roman" w:cstheme="minorHAnsi"/>
                <w:b/>
                <w:bCs/>
                <w:lang w:val="en-GB" w:eastAsia="es-ES"/>
              </w:rPr>
            </w:pPr>
            <w:r w:rsidRPr="00FC22AA">
              <w:rPr>
                <w:rFonts w:eastAsia="Times New Roman" w:cstheme="minorHAnsi"/>
                <w:b/>
                <w:bCs/>
                <w:lang w:val="en-GB" w:eastAsia="es-ES"/>
              </w:rPr>
              <w:t>-</w:t>
            </w:r>
            <w:r w:rsidR="0060570D" w:rsidRPr="00FC22AA">
              <w:rPr>
                <w:rFonts w:eastAsia="Times New Roman" w:cstheme="minorHAnsi"/>
                <w:b/>
                <w:bCs/>
                <w:lang w:val="en-GB" w:eastAsia="es-ES"/>
              </w:rPr>
              <w:t>5</w:t>
            </w:r>
            <w:r w:rsidR="0068522A" w:rsidRPr="00FC22AA">
              <w:rPr>
                <w:rFonts w:eastAsia="Times New Roman" w:cstheme="minorHAnsi"/>
                <w:b/>
                <w:bCs/>
                <w:lang w:val="en-GB" w:eastAsia="es-ES"/>
              </w:rPr>
              <w:t>.</w:t>
            </w:r>
            <w:r w:rsidR="0060570D" w:rsidRPr="00FC22AA">
              <w:rPr>
                <w:rFonts w:eastAsia="Times New Roman" w:cstheme="minorHAnsi"/>
                <w:b/>
                <w:bCs/>
                <w:lang w:val="en-GB" w:eastAsia="es-ES"/>
              </w:rPr>
              <w:t>4</w:t>
            </w:r>
          </w:p>
        </w:tc>
      </w:tr>
      <w:tr w:rsidR="00660546" w:rsidRPr="00FC22AA" w14:paraId="13AF0150" w14:textId="77777777" w:rsidTr="00660546">
        <w:trPr>
          <w:trHeight w:val="20"/>
        </w:trPr>
        <w:tc>
          <w:tcPr>
            <w:tcW w:w="5103" w:type="dxa"/>
            <w:gridSpan w:val="2"/>
            <w:tcBorders>
              <w:top w:val="single" w:sz="6" w:space="0" w:color="auto"/>
              <w:left w:val="nil"/>
              <w:bottom w:val="nil"/>
              <w:right w:val="nil"/>
            </w:tcBorders>
            <w:noWrap/>
            <w:vAlign w:val="bottom"/>
            <w:hideMark/>
          </w:tcPr>
          <w:p w14:paraId="5771FB7B" w14:textId="0DA855C7" w:rsidR="009F5687" w:rsidRPr="00FC22AA" w:rsidRDefault="007F7646" w:rsidP="009F5687">
            <w:pPr>
              <w:keepNext/>
              <w:keepLines/>
              <w:spacing w:after="0" w:line="240" w:lineRule="auto"/>
              <w:ind w:left="213" w:right="-69"/>
              <w:rPr>
                <w:rFonts w:eastAsia="Times New Roman" w:cstheme="minorHAnsi"/>
                <w:lang w:val="en-GB" w:eastAsia="es-ES"/>
              </w:rPr>
            </w:pPr>
            <w:r w:rsidRPr="00FC22AA">
              <w:rPr>
                <w:rFonts w:eastAsia="Times New Roman" w:cstheme="minorHAnsi"/>
                <w:lang w:val="en-GB" w:eastAsia="es-ES"/>
              </w:rPr>
              <w:t>Sales of finished goods</w:t>
            </w:r>
          </w:p>
        </w:tc>
        <w:tc>
          <w:tcPr>
            <w:tcW w:w="1284" w:type="dxa"/>
            <w:tcBorders>
              <w:top w:val="single" w:sz="6" w:space="0" w:color="auto"/>
              <w:left w:val="nil"/>
              <w:bottom w:val="nil"/>
              <w:right w:val="nil"/>
            </w:tcBorders>
            <w:noWrap/>
            <w:hideMark/>
          </w:tcPr>
          <w:p w14:paraId="4AC9951E" w14:textId="23AE577E" w:rsidR="009F5687" w:rsidRPr="00FC22AA" w:rsidRDefault="0060570D"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603</w:t>
            </w:r>
            <w:r w:rsidR="0068522A" w:rsidRPr="00FC22AA">
              <w:rPr>
                <w:rFonts w:eastAsia="Times New Roman" w:cstheme="minorHAnsi"/>
                <w:lang w:val="en-GB" w:eastAsia="es-ES"/>
              </w:rPr>
              <w:t>,</w:t>
            </w:r>
            <w:r w:rsidRPr="00FC22AA">
              <w:rPr>
                <w:rFonts w:eastAsia="Times New Roman" w:cstheme="minorHAnsi"/>
                <w:lang w:val="en-GB" w:eastAsia="es-ES"/>
              </w:rPr>
              <w:t>364</w:t>
            </w:r>
          </w:p>
        </w:tc>
        <w:tc>
          <w:tcPr>
            <w:tcW w:w="1285" w:type="dxa"/>
            <w:tcBorders>
              <w:top w:val="single" w:sz="6" w:space="0" w:color="auto"/>
              <w:left w:val="nil"/>
              <w:bottom w:val="nil"/>
              <w:right w:val="nil"/>
            </w:tcBorders>
            <w:noWrap/>
            <w:hideMark/>
          </w:tcPr>
          <w:p w14:paraId="326A8E45" w14:textId="04984521" w:rsidR="009F5687" w:rsidRPr="00FC22AA" w:rsidRDefault="00095BB4"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643</w:t>
            </w:r>
            <w:r w:rsidR="0068522A" w:rsidRPr="00FC22AA">
              <w:rPr>
                <w:rFonts w:eastAsia="Times New Roman" w:cstheme="minorHAnsi"/>
                <w:lang w:val="en-GB" w:eastAsia="es-ES"/>
              </w:rPr>
              <w:t>,</w:t>
            </w:r>
            <w:r w:rsidRPr="00FC22AA">
              <w:rPr>
                <w:rFonts w:eastAsia="Times New Roman" w:cstheme="minorHAnsi"/>
                <w:lang w:val="en-GB" w:eastAsia="es-ES"/>
              </w:rPr>
              <w:t>426</w:t>
            </w:r>
          </w:p>
        </w:tc>
        <w:tc>
          <w:tcPr>
            <w:tcW w:w="851" w:type="dxa"/>
            <w:tcBorders>
              <w:top w:val="single" w:sz="6" w:space="0" w:color="auto"/>
              <w:left w:val="nil"/>
              <w:bottom w:val="nil"/>
              <w:right w:val="nil"/>
            </w:tcBorders>
            <w:noWrap/>
            <w:hideMark/>
          </w:tcPr>
          <w:p w14:paraId="3CE0B5E6" w14:textId="0D12D3A7" w:rsidR="009F5687" w:rsidRPr="00FC22AA" w:rsidRDefault="009F5687"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r w:rsidR="0060570D" w:rsidRPr="00FC22AA">
              <w:rPr>
                <w:rFonts w:eastAsia="Times New Roman" w:cstheme="minorHAnsi"/>
                <w:lang w:val="en-GB" w:eastAsia="es-ES"/>
              </w:rPr>
              <w:t>6</w:t>
            </w:r>
            <w:r w:rsidR="0068522A" w:rsidRPr="00FC22AA">
              <w:rPr>
                <w:rFonts w:eastAsia="Times New Roman" w:cstheme="minorHAnsi"/>
                <w:lang w:val="en-GB" w:eastAsia="es-ES"/>
              </w:rPr>
              <w:t>.</w:t>
            </w:r>
            <w:r w:rsidR="0060570D" w:rsidRPr="00FC22AA">
              <w:rPr>
                <w:rFonts w:eastAsia="Times New Roman" w:cstheme="minorHAnsi"/>
                <w:lang w:val="en-GB" w:eastAsia="es-ES"/>
              </w:rPr>
              <w:t>2</w:t>
            </w:r>
          </w:p>
        </w:tc>
      </w:tr>
      <w:tr w:rsidR="00660546" w:rsidRPr="00FC22AA" w14:paraId="528491EA" w14:textId="77777777" w:rsidTr="00660546">
        <w:trPr>
          <w:trHeight w:val="20"/>
        </w:trPr>
        <w:tc>
          <w:tcPr>
            <w:tcW w:w="5103" w:type="dxa"/>
            <w:gridSpan w:val="2"/>
            <w:tcBorders>
              <w:top w:val="nil"/>
              <w:left w:val="nil"/>
              <w:bottom w:val="nil"/>
              <w:right w:val="nil"/>
            </w:tcBorders>
            <w:noWrap/>
            <w:vAlign w:val="bottom"/>
            <w:hideMark/>
          </w:tcPr>
          <w:p w14:paraId="3BD21BDA" w14:textId="421D2C3B" w:rsidR="009F5687" w:rsidRPr="00FC22AA" w:rsidRDefault="00C65EC8" w:rsidP="009F5687">
            <w:pPr>
              <w:keepNext/>
              <w:keepLines/>
              <w:spacing w:after="0" w:line="240" w:lineRule="auto"/>
              <w:ind w:left="213" w:right="-69"/>
              <w:rPr>
                <w:rFonts w:eastAsia="Times New Roman" w:cstheme="minorHAnsi"/>
                <w:lang w:val="en-GB" w:eastAsia="es-ES"/>
              </w:rPr>
            </w:pPr>
            <w:r w:rsidRPr="00FC22AA">
              <w:rPr>
                <w:color w:val="000000" w:themeColor="text1"/>
                <w:lang w:val="en-GB"/>
              </w:rPr>
              <w:t>Service provision</w:t>
            </w:r>
          </w:p>
        </w:tc>
        <w:tc>
          <w:tcPr>
            <w:tcW w:w="1284" w:type="dxa"/>
            <w:tcBorders>
              <w:top w:val="nil"/>
              <w:left w:val="nil"/>
              <w:bottom w:val="nil"/>
              <w:right w:val="nil"/>
            </w:tcBorders>
            <w:noWrap/>
            <w:hideMark/>
          </w:tcPr>
          <w:p w14:paraId="0683401B" w14:textId="4AC4C229" w:rsidR="009F5687" w:rsidRPr="00FC22AA" w:rsidRDefault="0060570D"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23</w:t>
            </w:r>
            <w:r w:rsidR="0068522A" w:rsidRPr="00FC22AA">
              <w:rPr>
                <w:rFonts w:eastAsia="Times New Roman" w:cstheme="minorHAnsi"/>
                <w:lang w:val="en-GB" w:eastAsia="es-ES"/>
              </w:rPr>
              <w:t>,</w:t>
            </w:r>
            <w:r w:rsidRPr="00FC22AA">
              <w:rPr>
                <w:rFonts w:eastAsia="Times New Roman" w:cstheme="minorHAnsi"/>
                <w:lang w:val="en-GB" w:eastAsia="es-ES"/>
              </w:rPr>
              <w:t>451</w:t>
            </w:r>
          </w:p>
        </w:tc>
        <w:tc>
          <w:tcPr>
            <w:tcW w:w="1285" w:type="dxa"/>
            <w:tcBorders>
              <w:top w:val="nil"/>
              <w:left w:val="nil"/>
              <w:bottom w:val="nil"/>
              <w:right w:val="nil"/>
            </w:tcBorders>
            <w:noWrap/>
            <w:hideMark/>
          </w:tcPr>
          <w:p w14:paraId="743F1157" w14:textId="10A1839D" w:rsidR="009F5687" w:rsidRPr="00FC22AA" w:rsidRDefault="00BF6E45"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23</w:t>
            </w:r>
            <w:r w:rsidR="0068522A" w:rsidRPr="00FC22AA">
              <w:rPr>
                <w:rFonts w:eastAsia="Times New Roman" w:cstheme="minorHAnsi"/>
                <w:lang w:val="en-GB" w:eastAsia="es-ES"/>
              </w:rPr>
              <w:t>,</w:t>
            </w:r>
            <w:r w:rsidRPr="00FC22AA">
              <w:rPr>
                <w:rFonts w:eastAsia="Times New Roman" w:cstheme="minorHAnsi"/>
                <w:lang w:val="en-GB" w:eastAsia="es-ES"/>
              </w:rPr>
              <w:t>989</w:t>
            </w:r>
          </w:p>
        </w:tc>
        <w:tc>
          <w:tcPr>
            <w:tcW w:w="851" w:type="dxa"/>
            <w:tcBorders>
              <w:top w:val="nil"/>
              <w:left w:val="nil"/>
              <w:bottom w:val="nil"/>
              <w:right w:val="nil"/>
            </w:tcBorders>
            <w:noWrap/>
            <w:hideMark/>
          </w:tcPr>
          <w:p w14:paraId="32892606" w14:textId="265F2C39" w:rsidR="009F5687" w:rsidRPr="00FC22AA" w:rsidRDefault="00AC1BDD"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r w:rsidR="0060570D" w:rsidRPr="00FC22AA">
              <w:rPr>
                <w:rFonts w:eastAsia="Times New Roman" w:cstheme="minorHAnsi"/>
                <w:lang w:val="en-GB" w:eastAsia="es-ES"/>
              </w:rPr>
              <w:t>2</w:t>
            </w:r>
            <w:r w:rsidR="0068522A" w:rsidRPr="00FC22AA">
              <w:rPr>
                <w:rFonts w:eastAsia="Times New Roman" w:cstheme="minorHAnsi"/>
                <w:lang w:val="en-GB" w:eastAsia="es-ES"/>
              </w:rPr>
              <w:t>.</w:t>
            </w:r>
            <w:r w:rsidR="0060570D" w:rsidRPr="00FC22AA">
              <w:rPr>
                <w:rFonts w:eastAsia="Times New Roman" w:cstheme="minorHAnsi"/>
                <w:lang w:val="en-GB" w:eastAsia="es-ES"/>
              </w:rPr>
              <w:t>2</w:t>
            </w:r>
          </w:p>
        </w:tc>
      </w:tr>
      <w:tr w:rsidR="00660546" w:rsidRPr="00FC22AA" w14:paraId="1B8AB2D9" w14:textId="77777777" w:rsidTr="00660546">
        <w:trPr>
          <w:trHeight w:val="20"/>
        </w:trPr>
        <w:tc>
          <w:tcPr>
            <w:tcW w:w="5103" w:type="dxa"/>
            <w:gridSpan w:val="2"/>
            <w:tcBorders>
              <w:top w:val="nil"/>
              <w:left w:val="nil"/>
              <w:bottom w:val="nil"/>
              <w:right w:val="nil"/>
            </w:tcBorders>
            <w:noWrap/>
            <w:vAlign w:val="bottom"/>
            <w:hideMark/>
          </w:tcPr>
          <w:p w14:paraId="42DEA0C3" w14:textId="0D9F51A4" w:rsidR="009F5687" w:rsidRPr="00FC22AA" w:rsidRDefault="007F7646" w:rsidP="009F5687">
            <w:pPr>
              <w:keepNext/>
              <w:keepLines/>
              <w:spacing w:after="0" w:line="240" w:lineRule="auto"/>
              <w:ind w:left="213" w:right="-69"/>
              <w:rPr>
                <w:rFonts w:eastAsia="Times New Roman" w:cstheme="minorHAnsi"/>
                <w:lang w:val="en-GB" w:eastAsia="es-ES"/>
              </w:rPr>
            </w:pPr>
            <w:r w:rsidRPr="00FC22AA">
              <w:rPr>
                <w:rFonts w:eastAsia="Times New Roman" w:cstheme="minorHAnsi"/>
                <w:lang w:val="en-GB" w:eastAsia="es-ES"/>
              </w:rPr>
              <w:t xml:space="preserve">Other income </w:t>
            </w:r>
          </w:p>
        </w:tc>
        <w:tc>
          <w:tcPr>
            <w:tcW w:w="1284" w:type="dxa"/>
            <w:tcBorders>
              <w:top w:val="nil"/>
              <w:left w:val="nil"/>
              <w:bottom w:val="nil"/>
              <w:right w:val="nil"/>
            </w:tcBorders>
            <w:hideMark/>
          </w:tcPr>
          <w:p w14:paraId="71CA421D" w14:textId="78F81046" w:rsidR="009F5687" w:rsidRPr="00FC22AA" w:rsidRDefault="0060570D"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34</w:t>
            </w:r>
            <w:r w:rsidR="0068522A" w:rsidRPr="00FC22AA">
              <w:rPr>
                <w:rFonts w:eastAsia="Times New Roman" w:cstheme="minorHAnsi"/>
                <w:lang w:val="en-GB" w:eastAsia="es-ES"/>
              </w:rPr>
              <w:t>,</w:t>
            </w:r>
            <w:r w:rsidRPr="00FC22AA">
              <w:rPr>
                <w:rFonts w:eastAsia="Times New Roman" w:cstheme="minorHAnsi"/>
                <w:lang w:val="en-GB" w:eastAsia="es-ES"/>
              </w:rPr>
              <w:t>918</w:t>
            </w:r>
          </w:p>
        </w:tc>
        <w:tc>
          <w:tcPr>
            <w:tcW w:w="1285" w:type="dxa"/>
            <w:tcBorders>
              <w:top w:val="nil"/>
              <w:left w:val="nil"/>
              <w:bottom w:val="nil"/>
              <w:right w:val="nil"/>
            </w:tcBorders>
            <w:hideMark/>
          </w:tcPr>
          <w:p w14:paraId="7757343D" w14:textId="60EDE5F3" w:rsidR="009F5687" w:rsidRPr="00FC22AA" w:rsidRDefault="00857794"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26</w:t>
            </w:r>
            <w:r w:rsidR="0068522A" w:rsidRPr="00FC22AA">
              <w:rPr>
                <w:rFonts w:eastAsia="Times New Roman" w:cstheme="minorHAnsi"/>
                <w:lang w:val="en-GB" w:eastAsia="es-ES"/>
              </w:rPr>
              <w:t>,</w:t>
            </w:r>
            <w:r w:rsidRPr="00FC22AA">
              <w:rPr>
                <w:rFonts w:eastAsia="Times New Roman" w:cstheme="minorHAnsi"/>
                <w:lang w:val="en-GB" w:eastAsia="es-ES"/>
              </w:rPr>
              <w:t>177</w:t>
            </w:r>
          </w:p>
        </w:tc>
        <w:tc>
          <w:tcPr>
            <w:tcW w:w="851" w:type="dxa"/>
            <w:tcBorders>
              <w:top w:val="nil"/>
              <w:left w:val="nil"/>
              <w:bottom w:val="nil"/>
              <w:right w:val="nil"/>
            </w:tcBorders>
            <w:noWrap/>
            <w:hideMark/>
          </w:tcPr>
          <w:p w14:paraId="677C02F7" w14:textId="515D2CEF" w:rsidR="009F5687" w:rsidRPr="00FC22AA" w:rsidRDefault="0060570D"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33</w:t>
            </w:r>
            <w:r w:rsidR="0068522A" w:rsidRPr="00FC22AA">
              <w:rPr>
                <w:rFonts w:eastAsia="Times New Roman" w:cstheme="minorHAnsi"/>
                <w:lang w:val="en-GB" w:eastAsia="es-ES"/>
              </w:rPr>
              <w:t>.</w:t>
            </w:r>
            <w:r w:rsidRPr="00FC22AA">
              <w:rPr>
                <w:rFonts w:eastAsia="Times New Roman" w:cstheme="minorHAnsi"/>
                <w:lang w:val="en-GB" w:eastAsia="es-ES"/>
              </w:rPr>
              <w:t>4</w:t>
            </w:r>
          </w:p>
        </w:tc>
      </w:tr>
      <w:tr w:rsidR="00660546" w:rsidRPr="00FC22AA" w14:paraId="2C9CA11D" w14:textId="77777777" w:rsidTr="00660546">
        <w:trPr>
          <w:trHeight w:val="20"/>
        </w:trPr>
        <w:tc>
          <w:tcPr>
            <w:tcW w:w="5103" w:type="dxa"/>
            <w:gridSpan w:val="2"/>
            <w:tcBorders>
              <w:top w:val="nil"/>
              <w:left w:val="nil"/>
              <w:bottom w:val="nil"/>
              <w:right w:val="nil"/>
            </w:tcBorders>
            <w:noWrap/>
            <w:vAlign w:val="bottom"/>
            <w:hideMark/>
          </w:tcPr>
          <w:p w14:paraId="32FBDEA3" w14:textId="0D29AADD" w:rsidR="009F5687" w:rsidRPr="00FC22AA" w:rsidRDefault="0068522A" w:rsidP="009F5687">
            <w:pPr>
              <w:keepNext/>
              <w:keepLines/>
              <w:spacing w:after="0" w:line="240" w:lineRule="auto"/>
              <w:ind w:left="213" w:right="-69"/>
              <w:rPr>
                <w:rFonts w:eastAsia="Times New Roman" w:cstheme="minorHAnsi"/>
                <w:lang w:val="en-GB" w:eastAsia="es-ES"/>
              </w:rPr>
            </w:pPr>
            <w:r w:rsidRPr="00FC22AA">
              <w:rPr>
                <w:color w:val="000000" w:themeColor="text1"/>
                <w:lang w:val="en-GB"/>
              </w:rPr>
              <w:t>Reversal of prov. and other non</w:t>
            </w:r>
            <w:r w:rsidRPr="00FC22AA">
              <w:rPr>
                <w:color w:val="000000" w:themeColor="text1"/>
                <w:lang w:val="en-GB"/>
              </w:rPr>
              <w:noBreakHyphen/>
              <w:t>recurring income</w:t>
            </w:r>
          </w:p>
        </w:tc>
        <w:tc>
          <w:tcPr>
            <w:tcW w:w="1284" w:type="dxa"/>
            <w:tcBorders>
              <w:top w:val="nil"/>
              <w:left w:val="nil"/>
              <w:bottom w:val="nil"/>
              <w:right w:val="nil"/>
            </w:tcBorders>
            <w:hideMark/>
          </w:tcPr>
          <w:p w14:paraId="0398E8B6" w14:textId="7F570002" w:rsidR="009F5687" w:rsidRPr="00FC22AA" w:rsidRDefault="0060570D"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w:t>
            </w:r>
            <w:r w:rsidR="0068522A" w:rsidRPr="00FC22AA">
              <w:rPr>
                <w:rFonts w:eastAsia="Times New Roman" w:cstheme="minorHAnsi"/>
                <w:lang w:val="en-GB" w:eastAsia="es-ES"/>
              </w:rPr>
              <w:t>,</w:t>
            </w:r>
            <w:r w:rsidRPr="00FC22AA">
              <w:rPr>
                <w:rFonts w:eastAsia="Times New Roman" w:cstheme="minorHAnsi"/>
                <w:lang w:val="en-GB" w:eastAsia="es-ES"/>
              </w:rPr>
              <w:t>058</w:t>
            </w:r>
          </w:p>
        </w:tc>
        <w:tc>
          <w:tcPr>
            <w:tcW w:w="1285" w:type="dxa"/>
            <w:tcBorders>
              <w:top w:val="nil"/>
              <w:left w:val="nil"/>
              <w:bottom w:val="nil"/>
              <w:right w:val="nil"/>
            </w:tcBorders>
            <w:hideMark/>
          </w:tcPr>
          <w:p w14:paraId="1C244B43" w14:textId="6804E23C" w:rsidR="009F5687" w:rsidRPr="00FC22AA" w:rsidRDefault="00FF04EE" w:rsidP="00CA700E">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5</w:t>
            </w:r>
            <w:r w:rsidR="0068522A" w:rsidRPr="00FC22AA">
              <w:rPr>
                <w:rFonts w:eastAsia="Times New Roman" w:cstheme="minorHAnsi"/>
                <w:lang w:val="en-GB" w:eastAsia="es-ES"/>
              </w:rPr>
              <w:t>,</w:t>
            </w:r>
            <w:r w:rsidRPr="00FC22AA">
              <w:rPr>
                <w:rFonts w:eastAsia="Times New Roman" w:cstheme="minorHAnsi"/>
                <w:lang w:val="en-GB" w:eastAsia="es-ES"/>
              </w:rPr>
              <w:t>378</w:t>
            </w:r>
          </w:p>
        </w:tc>
        <w:tc>
          <w:tcPr>
            <w:tcW w:w="851" w:type="dxa"/>
            <w:tcBorders>
              <w:top w:val="nil"/>
              <w:left w:val="nil"/>
              <w:bottom w:val="nil"/>
              <w:right w:val="nil"/>
            </w:tcBorders>
            <w:noWrap/>
            <w:hideMark/>
          </w:tcPr>
          <w:p w14:paraId="37680535" w14:textId="377C795C" w:rsidR="009F5687" w:rsidRPr="00FC22AA" w:rsidRDefault="00CF50D4"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-8</w:t>
            </w:r>
            <w:r w:rsidR="0060570D" w:rsidRPr="00FC22AA">
              <w:rPr>
                <w:rFonts w:eastAsia="Times New Roman" w:cstheme="minorHAnsi"/>
                <w:lang w:val="en-GB" w:eastAsia="es-ES"/>
              </w:rPr>
              <w:t>0</w:t>
            </w:r>
            <w:r w:rsidR="0068522A" w:rsidRPr="00FC22AA">
              <w:rPr>
                <w:rFonts w:eastAsia="Times New Roman" w:cstheme="minorHAnsi"/>
                <w:lang w:val="en-GB" w:eastAsia="es-ES"/>
              </w:rPr>
              <w:t>.</w:t>
            </w:r>
            <w:r w:rsidR="0060570D" w:rsidRPr="00FC22AA">
              <w:rPr>
                <w:rFonts w:eastAsia="Times New Roman" w:cstheme="minorHAnsi"/>
                <w:lang w:val="en-GB" w:eastAsia="es-ES"/>
              </w:rPr>
              <w:t>3</w:t>
            </w:r>
          </w:p>
        </w:tc>
      </w:tr>
      <w:tr w:rsidR="00AE1D25" w:rsidRPr="00FC22AA" w14:paraId="37B650C2" w14:textId="77777777" w:rsidTr="00660546">
        <w:trPr>
          <w:trHeight w:val="20"/>
        </w:trPr>
        <w:tc>
          <w:tcPr>
            <w:tcW w:w="5103" w:type="dxa"/>
            <w:gridSpan w:val="2"/>
            <w:tcBorders>
              <w:top w:val="nil"/>
              <w:left w:val="nil"/>
              <w:bottom w:val="nil"/>
              <w:right w:val="nil"/>
            </w:tcBorders>
            <w:noWrap/>
            <w:vAlign w:val="bottom"/>
          </w:tcPr>
          <w:p w14:paraId="6E39F602" w14:textId="51EC6CC4" w:rsidR="00AE1D25" w:rsidRPr="00FC22AA" w:rsidRDefault="007F7646" w:rsidP="00AE1D25">
            <w:pPr>
              <w:keepNext/>
              <w:keepLines/>
              <w:spacing w:after="0" w:line="240" w:lineRule="auto"/>
              <w:ind w:left="213" w:right="-69"/>
              <w:rPr>
                <w:rFonts w:eastAsia="Times New Roman" w:cstheme="minorHAnsi"/>
                <w:lang w:val="en-GB" w:eastAsia="es-ES"/>
              </w:rPr>
            </w:pPr>
            <w:r w:rsidRPr="00FC22AA">
              <w:rPr>
                <w:rFonts w:eastAsia="Times New Roman" w:cstheme="minorHAnsi"/>
                <w:lang w:val="en-GB" w:eastAsia="es-ES"/>
              </w:rPr>
              <w:t>Incr</w:t>
            </w:r>
            <w:r w:rsidR="004F4F9D" w:rsidRPr="00FC22AA">
              <w:rPr>
                <w:rFonts w:eastAsia="Times New Roman" w:cstheme="minorHAnsi"/>
                <w:lang w:val="en-GB" w:eastAsia="es-ES"/>
              </w:rPr>
              <w:t>.</w:t>
            </w:r>
            <w:r w:rsidRPr="00FC22AA">
              <w:rPr>
                <w:rFonts w:eastAsia="Times New Roman" w:cstheme="minorHAnsi"/>
                <w:lang w:val="en-GB" w:eastAsia="es-ES"/>
              </w:rPr>
              <w:t xml:space="preserve"> </w:t>
            </w:r>
            <w:r w:rsidR="0068522A" w:rsidRPr="00FC22AA">
              <w:rPr>
                <w:lang w:val="en-GB"/>
              </w:rPr>
              <w:t>in invent</w:t>
            </w:r>
            <w:r w:rsidR="004F4F9D" w:rsidRPr="00FC22AA">
              <w:rPr>
                <w:lang w:val="en-GB"/>
              </w:rPr>
              <w:t>.</w:t>
            </w:r>
            <w:r w:rsidR="0068522A" w:rsidRPr="00FC22AA">
              <w:rPr>
                <w:lang w:val="en-GB"/>
              </w:rPr>
              <w:t xml:space="preserve"> of finished and work-in-progress prod</w:t>
            </w:r>
            <w:r w:rsidR="004F4F9D" w:rsidRPr="00FC22AA">
              <w:rPr>
                <w:lang w:val="en-GB"/>
              </w:rPr>
              <w:t>.</w:t>
            </w:r>
          </w:p>
        </w:tc>
        <w:tc>
          <w:tcPr>
            <w:tcW w:w="1284" w:type="dxa"/>
            <w:tcBorders>
              <w:top w:val="nil"/>
              <w:left w:val="nil"/>
              <w:bottom w:val="nil"/>
              <w:right w:val="nil"/>
            </w:tcBorders>
          </w:tcPr>
          <w:p w14:paraId="409F92BA" w14:textId="5A7F166C" w:rsidR="00AE1D25" w:rsidRPr="00FC22AA" w:rsidRDefault="0060570D" w:rsidP="00AE1D25">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w:t>
            </w:r>
          </w:p>
        </w:tc>
        <w:tc>
          <w:tcPr>
            <w:tcW w:w="1285" w:type="dxa"/>
            <w:tcBorders>
              <w:top w:val="nil"/>
              <w:left w:val="nil"/>
              <w:bottom w:val="nil"/>
              <w:right w:val="nil"/>
            </w:tcBorders>
          </w:tcPr>
          <w:p w14:paraId="44CCC7E8" w14:textId="188A9F67" w:rsidR="00AE1D25" w:rsidRPr="00FC22AA" w:rsidRDefault="00165F0F" w:rsidP="00AE1D25">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w:t>
            </w:r>
            <w:r w:rsidR="0068522A" w:rsidRPr="00FC22AA">
              <w:rPr>
                <w:rFonts w:eastAsia="Times New Roman" w:cstheme="minorHAnsi"/>
                <w:lang w:val="en-GB" w:eastAsia="es-ES"/>
              </w:rPr>
              <w:t>,</w:t>
            </w:r>
            <w:r w:rsidRPr="00FC22AA">
              <w:rPr>
                <w:rFonts w:eastAsia="Times New Roman" w:cstheme="minorHAnsi"/>
                <w:lang w:val="en-GB" w:eastAsia="es-ES"/>
              </w:rPr>
              <w:t>388</w:t>
            </w:r>
          </w:p>
        </w:tc>
        <w:tc>
          <w:tcPr>
            <w:tcW w:w="851" w:type="dxa"/>
            <w:tcBorders>
              <w:top w:val="nil"/>
              <w:left w:val="nil"/>
              <w:bottom w:val="nil"/>
              <w:right w:val="nil"/>
            </w:tcBorders>
            <w:noWrap/>
          </w:tcPr>
          <w:p w14:paraId="7F1DDD0E" w14:textId="5F17FE29" w:rsidR="00AE1D25" w:rsidRPr="00FC22AA" w:rsidRDefault="0060570D" w:rsidP="00AE1D25">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p>
        </w:tc>
      </w:tr>
      <w:tr w:rsidR="00AE1D25" w:rsidRPr="00FC22AA" w14:paraId="2E9EB314" w14:textId="77777777" w:rsidTr="00660546">
        <w:trPr>
          <w:trHeight w:val="20"/>
        </w:trPr>
        <w:tc>
          <w:tcPr>
            <w:tcW w:w="1131" w:type="dxa"/>
            <w:tcBorders>
              <w:top w:val="nil"/>
              <w:left w:val="nil"/>
              <w:bottom w:val="single" w:sz="4" w:space="0" w:color="auto"/>
              <w:right w:val="nil"/>
            </w:tcBorders>
            <w:noWrap/>
            <w:vAlign w:val="bottom"/>
            <w:hideMark/>
          </w:tcPr>
          <w:p w14:paraId="34D810F0" w14:textId="427CD45C" w:rsidR="00AE1D25" w:rsidRPr="00FC22AA" w:rsidRDefault="0068522A" w:rsidP="00AE1D25">
            <w:pPr>
              <w:keepNext/>
              <w:keepLines/>
              <w:spacing w:after="0" w:line="240" w:lineRule="auto"/>
              <w:rPr>
                <w:rFonts w:eastAsia="Times New Roman" w:cstheme="minorHAnsi"/>
                <w:b/>
                <w:bCs/>
                <w:lang w:val="en-GB" w:eastAsia="es-ES"/>
              </w:rPr>
            </w:pPr>
            <w:r w:rsidRPr="00FC22AA">
              <w:rPr>
                <w:rFonts w:eastAsia="Times New Roman" w:cstheme="minorHAnsi"/>
                <w:b/>
                <w:bCs/>
                <w:lang w:val="en-GB" w:eastAsia="es-ES"/>
              </w:rPr>
              <w:t xml:space="preserve">Expense </w:t>
            </w:r>
          </w:p>
        </w:tc>
        <w:tc>
          <w:tcPr>
            <w:tcW w:w="3972" w:type="dxa"/>
            <w:tcBorders>
              <w:top w:val="nil"/>
              <w:left w:val="nil"/>
              <w:bottom w:val="single" w:sz="4" w:space="0" w:color="auto"/>
              <w:right w:val="nil"/>
            </w:tcBorders>
            <w:noWrap/>
            <w:vAlign w:val="bottom"/>
            <w:hideMark/>
          </w:tcPr>
          <w:p w14:paraId="600EA539" w14:textId="77777777" w:rsidR="00AE1D25" w:rsidRPr="00FC22AA" w:rsidRDefault="00AE1D25" w:rsidP="00AE1D25">
            <w:pPr>
              <w:keepNext/>
              <w:keepLines/>
              <w:spacing w:after="0" w:line="240" w:lineRule="auto"/>
              <w:ind w:right="171"/>
              <w:rPr>
                <w:rFonts w:eastAsia="Times New Roman" w:cstheme="minorHAnsi"/>
                <w:b/>
                <w:bCs/>
                <w:lang w:val="en-GB" w:eastAsia="es-ES"/>
              </w:rPr>
            </w:pPr>
            <w:r w:rsidRPr="00FC22AA">
              <w:rPr>
                <w:rFonts w:eastAsia="Times New Roman" w:cstheme="minorHAnsi"/>
                <w:b/>
                <w:bCs/>
                <w:lang w:val="en-GB" w:eastAsia="es-ES"/>
              </w:rPr>
              <w:t> </w:t>
            </w:r>
          </w:p>
        </w:tc>
        <w:tc>
          <w:tcPr>
            <w:tcW w:w="1284" w:type="dxa"/>
            <w:tcBorders>
              <w:top w:val="nil"/>
              <w:left w:val="nil"/>
              <w:bottom w:val="single" w:sz="4" w:space="0" w:color="auto"/>
              <w:right w:val="nil"/>
            </w:tcBorders>
            <w:noWrap/>
            <w:hideMark/>
          </w:tcPr>
          <w:p w14:paraId="2CE553F9" w14:textId="5EE11189" w:rsidR="00AE1D25" w:rsidRPr="00FC22AA" w:rsidRDefault="00AE1D25" w:rsidP="00AE1D25">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w:t>
            </w:r>
            <w:r w:rsidR="0060570D" w:rsidRPr="00FC22AA">
              <w:rPr>
                <w:rFonts w:eastAsia="Times New Roman" w:cstheme="minorHAnsi"/>
                <w:b/>
                <w:bCs/>
                <w:lang w:val="en-GB" w:eastAsia="es-ES"/>
              </w:rPr>
              <w:t>656</w:t>
            </w:r>
            <w:r w:rsidR="0068522A" w:rsidRPr="00FC22AA">
              <w:rPr>
                <w:rFonts w:eastAsia="Times New Roman" w:cstheme="minorHAnsi"/>
                <w:b/>
                <w:bCs/>
                <w:lang w:val="en-GB" w:eastAsia="es-ES"/>
              </w:rPr>
              <w:t>,</w:t>
            </w:r>
            <w:r w:rsidR="0060570D" w:rsidRPr="00FC22AA">
              <w:rPr>
                <w:rFonts w:eastAsia="Times New Roman" w:cstheme="minorHAnsi"/>
                <w:b/>
                <w:bCs/>
                <w:lang w:val="en-GB" w:eastAsia="es-ES"/>
              </w:rPr>
              <w:t>542</w:t>
            </w:r>
          </w:p>
        </w:tc>
        <w:tc>
          <w:tcPr>
            <w:tcW w:w="1285" w:type="dxa"/>
            <w:tcBorders>
              <w:top w:val="nil"/>
              <w:left w:val="nil"/>
              <w:bottom w:val="single" w:sz="4" w:space="0" w:color="auto"/>
              <w:right w:val="nil"/>
            </w:tcBorders>
            <w:noWrap/>
            <w:hideMark/>
          </w:tcPr>
          <w:p w14:paraId="74D3503F" w14:textId="0DB564A8" w:rsidR="00AE1D25" w:rsidRPr="00FC22AA" w:rsidRDefault="002517F9" w:rsidP="00AE1D25">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-670</w:t>
            </w:r>
            <w:r w:rsidR="0068522A" w:rsidRPr="00FC22AA">
              <w:rPr>
                <w:rFonts w:eastAsia="Times New Roman" w:cstheme="minorHAnsi"/>
                <w:b/>
                <w:bCs/>
                <w:lang w:val="en-GB" w:eastAsia="es-ES"/>
              </w:rPr>
              <w:t>,</w:t>
            </w:r>
            <w:r w:rsidRPr="00FC22AA">
              <w:rPr>
                <w:rFonts w:eastAsia="Times New Roman" w:cstheme="minorHAnsi"/>
                <w:b/>
                <w:bCs/>
                <w:lang w:val="en-GB" w:eastAsia="es-ES"/>
              </w:rPr>
              <w:t>982</w:t>
            </w:r>
          </w:p>
        </w:tc>
        <w:tc>
          <w:tcPr>
            <w:tcW w:w="851" w:type="dxa"/>
            <w:tcBorders>
              <w:top w:val="nil"/>
              <w:left w:val="nil"/>
              <w:bottom w:val="single" w:sz="4" w:space="0" w:color="auto"/>
              <w:right w:val="nil"/>
            </w:tcBorders>
            <w:noWrap/>
            <w:hideMark/>
          </w:tcPr>
          <w:p w14:paraId="69BA6417" w14:textId="5CD82A96" w:rsidR="00AE1D25" w:rsidRPr="00FC22AA" w:rsidRDefault="00AE1D25" w:rsidP="00126C64">
            <w:pPr>
              <w:keepNext/>
              <w:keepLines/>
              <w:spacing w:after="0" w:line="240" w:lineRule="auto"/>
              <w:ind w:right="170"/>
              <w:jc w:val="right"/>
              <w:rPr>
                <w:rFonts w:eastAsia="Times New Roman" w:cstheme="minorHAnsi"/>
                <w:b/>
                <w:bCs/>
                <w:lang w:val="en-GB" w:eastAsia="es-ES"/>
              </w:rPr>
            </w:pPr>
            <w:r w:rsidRPr="00FC22AA">
              <w:rPr>
                <w:rFonts w:eastAsia="Times New Roman" w:cstheme="minorHAnsi"/>
                <w:b/>
                <w:bCs/>
                <w:lang w:val="en-GB" w:eastAsia="es-ES"/>
              </w:rPr>
              <w:t>-</w:t>
            </w:r>
            <w:r w:rsidR="0060570D" w:rsidRPr="00FC22AA">
              <w:rPr>
                <w:rFonts w:eastAsia="Times New Roman" w:cstheme="minorHAnsi"/>
                <w:b/>
                <w:bCs/>
                <w:lang w:val="en-GB" w:eastAsia="es-ES"/>
              </w:rPr>
              <w:t>2</w:t>
            </w:r>
            <w:r w:rsidR="0068522A" w:rsidRPr="00FC22AA">
              <w:rPr>
                <w:rFonts w:eastAsia="Times New Roman" w:cstheme="minorHAnsi"/>
                <w:b/>
                <w:bCs/>
                <w:lang w:val="en-GB" w:eastAsia="es-ES"/>
              </w:rPr>
              <w:t>.</w:t>
            </w:r>
            <w:r w:rsidR="0060570D" w:rsidRPr="00FC22AA">
              <w:rPr>
                <w:rFonts w:eastAsia="Times New Roman" w:cstheme="minorHAnsi"/>
                <w:b/>
                <w:bCs/>
                <w:lang w:val="en-GB" w:eastAsia="es-ES"/>
              </w:rPr>
              <w:t>2</w:t>
            </w:r>
          </w:p>
        </w:tc>
      </w:tr>
      <w:tr w:rsidR="00AE1D25" w:rsidRPr="00FC22AA" w14:paraId="5C80D7B7" w14:textId="77777777" w:rsidTr="00660546">
        <w:trPr>
          <w:trHeight w:val="20"/>
        </w:trPr>
        <w:tc>
          <w:tcPr>
            <w:tcW w:w="5103" w:type="dxa"/>
            <w:gridSpan w:val="2"/>
            <w:tcBorders>
              <w:top w:val="nil"/>
              <w:left w:val="nil"/>
              <w:bottom w:val="nil"/>
              <w:right w:val="nil"/>
            </w:tcBorders>
            <w:noWrap/>
            <w:vAlign w:val="bottom"/>
            <w:hideMark/>
          </w:tcPr>
          <w:p w14:paraId="1948CF40" w14:textId="46BB8040" w:rsidR="00AE1D25" w:rsidRPr="00FC22AA" w:rsidRDefault="0068522A" w:rsidP="00AE1D25">
            <w:pPr>
              <w:keepNext/>
              <w:keepLines/>
              <w:spacing w:after="0" w:line="240" w:lineRule="auto"/>
              <w:ind w:left="213" w:right="171"/>
              <w:rPr>
                <w:rFonts w:eastAsia="Times New Roman" w:cstheme="minorHAnsi"/>
                <w:lang w:val="en-GB" w:eastAsia="es-ES"/>
              </w:rPr>
            </w:pPr>
            <w:r w:rsidRPr="00FC22AA">
              <w:rPr>
                <w:lang w:val="en-GB"/>
              </w:rPr>
              <w:t xml:space="preserve">Procurement </w:t>
            </w:r>
          </w:p>
        </w:tc>
        <w:tc>
          <w:tcPr>
            <w:tcW w:w="1284" w:type="dxa"/>
            <w:tcBorders>
              <w:top w:val="nil"/>
              <w:left w:val="nil"/>
              <w:bottom w:val="nil"/>
              <w:right w:val="nil"/>
            </w:tcBorders>
            <w:noWrap/>
            <w:hideMark/>
          </w:tcPr>
          <w:p w14:paraId="19437A95" w14:textId="1C155562" w:rsidR="00AE1D25" w:rsidRPr="00FC22AA" w:rsidRDefault="00AE1D25" w:rsidP="00AE1D25">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-2</w:t>
            </w:r>
            <w:r w:rsidR="0060570D" w:rsidRPr="00FC22AA">
              <w:rPr>
                <w:rFonts w:eastAsia="Times New Roman" w:cstheme="minorHAnsi"/>
                <w:lang w:val="en-GB" w:eastAsia="es-ES"/>
              </w:rPr>
              <w:t>99</w:t>
            </w:r>
            <w:r w:rsidR="0068522A" w:rsidRPr="00FC22AA">
              <w:rPr>
                <w:rFonts w:eastAsia="Times New Roman" w:cstheme="minorHAnsi"/>
                <w:lang w:val="en-GB" w:eastAsia="es-ES"/>
              </w:rPr>
              <w:t>,</w:t>
            </w:r>
            <w:r w:rsidR="0060570D" w:rsidRPr="00FC22AA">
              <w:rPr>
                <w:rFonts w:eastAsia="Times New Roman" w:cstheme="minorHAnsi"/>
                <w:lang w:val="en-GB" w:eastAsia="es-ES"/>
              </w:rPr>
              <w:t>909</w:t>
            </w:r>
          </w:p>
        </w:tc>
        <w:tc>
          <w:tcPr>
            <w:tcW w:w="1285" w:type="dxa"/>
            <w:tcBorders>
              <w:top w:val="nil"/>
              <w:left w:val="nil"/>
              <w:bottom w:val="nil"/>
              <w:right w:val="nil"/>
            </w:tcBorders>
            <w:noWrap/>
            <w:hideMark/>
          </w:tcPr>
          <w:p w14:paraId="4CC25FAC" w14:textId="423E44B9" w:rsidR="00AE1D25" w:rsidRPr="00FC22AA" w:rsidRDefault="007827EA" w:rsidP="00AE1D25">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-326</w:t>
            </w:r>
            <w:r w:rsidR="0068522A" w:rsidRPr="00FC22AA">
              <w:rPr>
                <w:rFonts w:eastAsia="Times New Roman" w:cstheme="minorHAnsi"/>
                <w:lang w:val="en-GB" w:eastAsia="es-ES"/>
              </w:rPr>
              <w:t>,</w:t>
            </w:r>
            <w:r w:rsidRPr="00FC22AA">
              <w:rPr>
                <w:rFonts w:eastAsia="Times New Roman" w:cstheme="minorHAnsi"/>
                <w:lang w:val="en-GB" w:eastAsia="es-ES"/>
              </w:rPr>
              <w:t>838</w:t>
            </w:r>
          </w:p>
        </w:tc>
        <w:tc>
          <w:tcPr>
            <w:tcW w:w="851" w:type="dxa"/>
            <w:tcBorders>
              <w:top w:val="nil"/>
              <w:left w:val="nil"/>
              <w:bottom w:val="nil"/>
              <w:right w:val="nil"/>
            </w:tcBorders>
            <w:noWrap/>
            <w:hideMark/>
          </w:tcPr>
          <w:p w14:paraId="57DD3681" w14:textId="1BCD8998" w:rsidR="00AE1D25" w:rsidRPr="00FC22AA" w:rsidRDefault="00AE1D25"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r w:rsidR="0060570D" w:rsidRPr="00FC22AA">
              <w:rPr>
                <w:rFonts w:eastAsia="Times New Roman" w:cstheme="minorHAnsi"/>
                <w:lang w:val="en-GB" w:eastAsia="es-ES"/>
              </w:rPr>
              <w:t>8</w:t>
            </w:r>
            <w:r w:rsidR="0068522A" w:rsidRPr="00FC22AA">
              <w:rPr>
                <w:rFonts w:eastAsia="Times New Roman" w:cstheme="minorHAnsi"/>
                <w:lang w:val="en-GB" w:eastAsia="es-ES"/>
              </w:rPr>
              <w:t>.</w:t>
            </w:r>
            <w:r w:rsidR="0060570D" w:rsidRPr="00FC22AA">
              <w:rPr>
                <w:rFonts w:eastAsia="Times New Roman" w:cstheme="minorHAnsi"/>
                <w:lang w:val="en-GB" w:eastAsia="es-ES"/>
              </w:rPr>
              <w:t>2</w:t>
            </w:r>
          </w:p>
        </w:tc>
      </w:tr>
      <w:tr w:rsidR="0068522A" w:rsidRPr="00FC22AA" w14:paraId="0DDA2E94" w14:textId="77777777" w:rsidTr="00697552">
        <w:trPr>
          <w:trHeight w:val="20"/>
        </w:trPr>
        <w:tc>
          <w:tcPr>
            <w:tcW w:w="5103" w:type="dxa"/>
            <w:gridSpan w:val="2"/>
            <w:tcBorders>
              <w:top w:val="nil"/>
              <w:left w:val="nil"/>
              <w:bottom w:val="nil"/>
              <w:right w:val="nil"/>
            </w:tcBorders>
            <w:noWrap/>
          </w:tcPr>
          <w:p w14:paraId="38395198" w14:textId="7A68D297" w:rsidR="0068522A" w:rsidRPr="00FC22AA" w:rsidRDefault="0068522A" w:rsidP="0068522A">
            <w:pPr>
              <w:keepNext/>
              <w:keepLines/>
              <w:spacing w:after="0" w:line="240" w:lineRule="auto"/>
              <w:ind w:left="213" w:right="-69"/>
              <w:rPr>
                <w:rFonts w:eastAsia="Times New Roman" w:cstheme="minorHAnsi"/>
                <w:lang w:val="en-GB" w:eastAsia="es-ES"/>
              </w:rPr>
            </w:pPr>
            <w:r w:rsidRPr="00FC22AA">
              <w:rPr>
                <w:lang w:val="en-GB"/>
              </w:rPr>
              <w:t>Dec</w:t>
            </w:r>
            <w:r w:rsidR="004F4F9D" w:rsidRPr="00FC22AA">
              <w:rPr>
                <w:lang w:val="en-GB"/>
              </w:rPr>
              <w:t>.</w:t>
            </w:r>
            <w:r w:rsidRPr="00FC22AA">
              <w:rPr>
                <w:lang w:val="en-GB"/>
              </w:rPr>
              <w:t xml:space="preserve"> in inve</w:t>
            </w:r>
            <w:r w:rsidR="004F4F9D" w:rsidRPr="00FC22AA">
              <w:rPr>
                <w:lang w:val="en-GB"/>
              </w:rPr>
              <w:t>nt.</w:t>
            </w:r>
            <w:r w:rsidRPr="00FC22AA">
              <w:rPr>
                <w:lang w:val="en-GB"/>
              </w:rPr>
              <w:t xml:space="preserve"> of finished and work-in-progress pro</w:t>
            </w:r>
            <w:r w:rsidR="004F4F9D" w:rsidRPr="00FC22AA">
              <w:rPr>
                <w:lang w:val="en-GB"/>
              </w:rPr>
              <w:t>d.</w:t>
            </w:r>
          </w:p>
        </w:tc>
        <w:tc>
          <w:tcPr>
            <w:tcW w:w="1284" w:type="dxa"/>
            <w:tcBorders>
              <w:top w:val="nil"/>
              <w:left w:val="nil"/>
              <w:bottom w:val="nil"/>
              <w:right w:val="nil"/>
            </w:tcBorders>
            <w:noWrap/>
          </w:tcPr>
          <w:p w14:paraId="09FC15B4" w14:textId="3F350268"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-5,917</w:t>
            </w:r>
          </w:p>
        </w:tc>
        <w:tc>
          <w:tcPr>
            <w:tcW w:w="1285" w:type="dxa"/>
            <w:tcBorders>
              <w:top w:val="nil"/>
              <w:left w:val="nil"/>
              <w:bottom w:val="nil"/>
              <w:right w:val="nil"/>
            </w:tcBorders>
            <w:noWrap/>
          </w:tcPr>
          <w:p w14:paraId="26D959EF" w14:textId="3810376F"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w:t>
            </w:r>
          </w:p>
        </w:tc>
        <w:tc>
          <w:tcPr>
            <w:tcW w:w="851" w:type="dxa"/>
            <w:tcBorders>
              <w:top w:val="nil"/>
              <w:left w:val="nil"/>
              <w:bottom w:val="nil"/>
              <w:right w:val="nil"/>
            </w:tcBorders>
            <w:noWrap/>
          </w:tcPr>
          <w:p w14:paraId="7B5BDA7F" w14:textId="0CE327A9"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p>
        </w:tc>
      </w:tr>
      <w:tr w:rsidR="0068522A" w:rsidRPr="00FC22AA" w14:paraId="4927F84F" w14:textId="77777777" w:rsidTr="00697552">
        <w:trPr>
          <w:trHeight w:val="20"/>
        </w:trPr>
        <w:tc>
          <w:tcPr>
            <w:tcW w:w="5103" w:type="dxa"/>
            <w:gridSpan w:val="2"/>
            <w:tcBorders>
              <w:top w:val="nil"/>
              <w:left w:val="nil"/>
              <w:bottom w:val="nil"/>
              <w:right w:val="nil"/>
            </w:tcBorders>
            <w:noWrap/>
            <w:hideMark/>
          </w:tcPr>
          <w:p w14:paraId="51279C87" w14:textId="2ED783E3" w:rsidR="0068522A" w:rsidRPr="00FC22AA" w:rsidRDefault="0068522A" w:rsidP="0068522A">
            <w:pPr>
              <w:keepNext/>
              <w:keepLines/>
              <w:spacing w:after="0" w:line="240" w:lineRule="auto"/>
              <w:ind w:left="213" w:right="171"/>
              <w:rPr>
                <w:rFonts w:eastAsia="Times New Roman" w:cstheme="minorHAnsi"/>
                <w:lang w:val="en-GB" w:eastAsia="es-ES"/>
              </w:rPr>
            </w:pPr>
            <w:r w:rsidRPr="00FC22AA">
              <w:rPr>
                <w:lang w:val="en-GB"/>
              </w:rPr>
              <w:t>Supplies</w:t>
            </w:r>
          </w:p>
        </w:tc>
        <w:tc>
          <w:tcPr>
            <w:tcW w:w="1284" w:type="dxa"/>
            <w:tcBorders>
              <w:top w:val="nil"/>
              <w:left w:val="nil"/>
              <w:bottom w:val="nil"/>
              <w:right w:val="nil"/>
            </w:tcBorders>
            <w:noWrap/>
            <w:hideMark/>
          </w:tcPr>
          <w:p w14:paraId="77ACCFDD" w14:textId="6FD1B5FF"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-122,857</w:t>
            </w:r>
          </w:p>
        </w:tc>
        <w:tc>
          <w:tcPr>
            <w:tcW w:w="1285" w:type="dxa"/>
            <w:tcBorders>
              <w:top w:val="nil"/>
              <w:left w:val="nil"/>
              <w:bottom w:val="nil"/>
              <w:right w:val="nil"/>
            </w:tcBorders>
            <w:noWrap/>
            <w:hideMark/>
          </w:tcPr>
          <w:p w14:paraId="3BAF55E9" w14:textId="359E6A11"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-117,341</w:t>
            </w:r>
          </w:p>
        </w:tc>
        <w:tc>
          <w:tcPr>
            <w:tcW w:w="851" w:type="dxa"/>
            <w:tcBorders>
              <w:top w:val="nil"/>
              <w:left w:val="nil"/>
              <w:bottom w:val="nil"/>
              <w:right w:val="nil"/>
            </w:tcBorders>
            <w:noWrap/>
            <w:hideMark/>
          </w:tcPr>
          <w:p w14:paraId="507F929A" w14:textId="054D5A19"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4.7</w:t>
            </w:r>
          </w:p>
        </w:tc>
      </w:tr>
      <w:tr w:rsidR="0068522A" w:rsidRPr="00FC22AA" w14:paraId="72DC88F6" w14:textId="77777777" w:rsidTr="00697552">
        <w:trPr>
          <w:trHeight w:val="20"/>
        </w:trPr>
        <w:tc>
          <w:tcPr>
            <w:tcW w:w="5103" w:type="dxa"/>
            <w:gridSpan w:val="2"/>
            <w:tcBorders>
              <w:top w:val="nil"/>
              <w:left w:val="nil"/>
              <w:bottom w:val="nil"/>
              <w:right w:val="nil"/>
            </w:tcBorders>
            <w:noWrap/>
          </w:tcPr>
          <w:p w14:paraId="400CD366" w14:textId="0CEC6672" w:rsidR="0068522A" w:rsidRPr="00FC22AA" w:rsidRDefault="0068522A" w:rsidP="0068522A">
            <w:pPr>
              <w:keepNext/>
              <w:keepLines/>
              <w:spacing w:after="0" w:line="240" w:lineRule="auto"/>
              <w:ind w:left="213" w:right="171"/>
              <w:rPr>
                <w:rFonts w:eastAsia="Times New Roman" w:cstheme="minorHAnsi"/>
                <w:lang w:val="en-GB" w:eastAsia="es-ES"/>
              </w:rPr>
            </w:pPr>
            <w:r w:rsidRPr="00FC22AA">
              <w:rPr>
                <w:lang w:val="en-GB"/>
              </w:rPr>
              <w:t>Transport</w:t>
            </w:r>
          </w:p>
        </w:tc>
        <w:tc>
          <w:tcPr>
            <w:tcW w:w="1284" w:type="dxa"/>
            <w:tcBorders>
              <w:top w:val="nil"/>
              <w:left w:val="nil"/>
              <w:bottom w:val="nil"/>
              <w:right w:val="nil"/>
            </w:tcBorders>
            <w:noWrap/>
          </w:tcPr>
          <w:p w14:paraId="4716D728" w14:textId="402AC3D1"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-42,810</w:t>
            </w:r>
          </w:p>
        </w:tc>
        <w:tc>
          <w:tcPr>
            <w:tcW w:w="1285" w:type="dxa"/>
            <w:tcBorders>
              <w:top w:val="nil"/>
              <w:left w:val="nil"/>
              <w:bottom w:val="nil"/>
              <w:right w:val="nil"/>
            </w:tcBorders>
            <w:noWrap/>
          </w:tcPr>
          <w:p w14:paraId="5248F0F9" w14:textId="5B8C7D36"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-43,274</w:t>
            </w:r>
          </w:p>
        </w:tc>
        <w:tc>
          <w:tcPr>
            <w:tcW w:w="851" w:type="dxa"/>
            <w:tcBorders>
              <w:top w:val="nil"/>
              <w:left w:val="nil"/>
              <w:bottom w:val="nil"/>
              <w:right w:val="nil"/>
            </w:tcBorders>
            <w:noWrap/>
          </w:tcPr>
          <w:p w14:paraId="53515952" w14:textId="4C0D156E"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-1.1</w:t>
            </w:r>
          </w:p>
        </w:tc>
      </w:tr>
      <w:tr w:rsidR="0068522A" w:rsidRPr="00FC22AA" w14:paraId="5FBDCA6E" w14:textId="77777777" w:rsidTr="00697552">
        <w:trPr>
          <w:trHeight w:val="20"/>
        </w:trPr>
        <w:tc>
          <w:tcPr>
            <w:tcW w:w="5103" w:type="dxa"/>
            <w:gridSpan w:val="2"/>
            <w:tcBorders>
              <w:top w:val="nil"/>
              <w:left w:val="nil"/>
              <w:bottom w:val="nil"/>
              <w:right w:val="nil"/>
            </w:tcBorders>
            <w:noWrap/>
            <w:hideMark/>
          </w:tcPr>
          <w:p w14:paraId="1D6DCACA" w14:textId="2A079E91" w:rsidR="0068522A" w:rsidRPr="00FC22AA" w:rsidRDefault="0068522A" w:rsidP="0068522A">
            <w:pPr>
              <w:keepNext/>
              <w:keepLines/>
              <w:spacing w:after="0" w:line="240" w:lineRule="auto"/>
              <w:ind w:left="213" w:right="171"/>
              <w:rPr>
                <w:rFonts w:eastAsia="Times New Roman" w:cstheme="minorHAnsi"/>
                <w:lang w:val="en-GB" w:eastAsia="es-ES"/>
              </w:rPr>
            </w:pPr>
            <w:r w:rsidRPr="00FC22AA">
              <w:rPr>
                <w:lang w:val="en-GB"/>
              </w:rPr>
              <w:t>Personnel expenses</w:t>
            </w:r>
          </w:p>
        </w:tc>
        <w:tc>
          <w:tcPr>
            <w:tcW w:w="1284" w:type="dxa"/>
            <w:tcBorders>
              <w:top w:val="nil"/>
              <w:left w:val="nil"/>
              <w:bottom w:val="nil"/>
              <w:right w:val="nil"/>
            </w:tcBorders>
            <w:noWrap/>
            <w:hideMark/>
          </w:tcPr>
          <w:p w14:paraId="180963ED" w14:textId="7AEAF64F"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-104,748</w:t>
            </w:r>
          </w:p>
        </w:tc>
        <w:tc>
          <w:tcPr>
            <w:tcW w:w="1285" w:type="dxa"/>
            <w:tcBorders>
              <w:top w:val="nil"/>
              <w:left w:val="nil"/>
              <w:bottom w:val="nil"/>
              <w:right w:val="nil"/>
            </w:tcBorders>
            <w:noWrap/>
            <w:hideMark/>
          </w:tcPr>
          <w:p w14:paraId="3B4B4BF2" w14:textId="6C3373DC"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-100,966</w:t>
            </w:r>
          </w:p>
        </w:tc>
        <w:tc>
          <w:tcPr>
            <w:tcW w:w="851" w:type="dxa"/>
            <w:tcBorders>
              <w:top w:val="nil"/>
              <w:left w:val="nil"/>
              <w:bottom w:val="nil"/>
              <w:right w:val="nil"/>
            </w:tcBorders>
            <w:noWrap/>
            <w:hideMark/>
          </w:tcPr>
          <w:p w14:paraId="52AD5C61" w14:textId="5C0C478E"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3.7</w:t>
            </w:r>
          </w:p>
        </w:tc>
      </w:tr>
      <w:tr w:rsidR="0068522A" w:rsidRPr="00FC22AA" w14:paraId="2EFB2653" w14:textId="77777777" w:rsidTr="00697552">
        <w:trPr>
          <w:trHeight w:val="20"/>
        </w:trPr>
        <w:tc>
          <w:tcPr>
            <w:tcW w:w="5103" w:type="dxa"/>
            <w:gridSpan w:val="2"/>
            <w:tcBorders>
              <w:top w:val="nil"/>
              <w:left w:val="nil"/>
              <w:bottom w:val="nil"/>
              <w:right w:val="nil"/>
            </w:tcBorders>
            <w:noWrap/>
            <w:hideMark/>
          </w:tcPr>
          <w:p w14:paraId="0F0BCBF5" w14:textId="190D39DA" w:rsidR="0068522A" w:rsidRPr="00FC22AA" w:rsidRDefault="0068522A" w:rsidP="0068522A">
            <w:pPr>
              <w:keepNext/>
              <w:keepLines/>
              <w:spacing w:after="0" w:line="240" w:lineRule="auto"/>
              <w:ind w:left="213" w:right="171"/>
              <w:rPr>
                <w:rFonts w:eastAsia="Times New Roman" w:cstheme="minorHAnsi"/>
                <w:lang w:val="en-GB" w:eastAsia="es-ES"/>
              </w:rPr>
            </w:pPr>
            <w:r w:rsidRPr="00FC22AA">
              <w:rPr>
                <w:lang w:val="en-GB"/>
              </w:rPr>
              <w:t>Other operating expenses</w:t>
            </w:r>
          </w:p>
        </w:tc>
        <w:tc>
          <w:tcPr>
            <w:tcW w:w="1284" w:type="dxa"/>
            <w:tcBorders>
              <w:top w:val="nil"/>
              <w:left w:val="nil"/>
              <w:bottom w:val="nil"/>
              <w:right w:val="nil"/>
            </w:tcBorders>
            <w:noWrap/>
            <w:hideMark/>
          </w:tcPr>
          <w:p w14:paraId="529C425B" w14:textId="268B39AC"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-77,689</w:t>
            </w:r>
          </w:p>
        </w:tc>
        <w:tc>
          <w:tcPr>
            <w:tcW w:w="1285" w:type="dxa"/>
            <w:tcBorders>
              <w:top w:val="nil"/>
              <w:left w:val="nil"/>
              <w:bottom w:val="nil"/>
              <w:right w:val="nil"/>
            </w:tcBorders>
            <w:noWrap/>
            <w:hideMark/>
          </w:tcPr>
          <w:p w14:paraId="4FAA7A6B" w14:textId="09B04E15"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-77,935</w:t>
            </w:r>
          </w:p>
        </w:tc>
        <w:tc>
          <w:tcPr>
            <w:tcW w:w="851" w:type="dxa"/>
            <w:tcBorders>
              <w:top w:val="nil"/>
              <w:left w:val="nil"/>
              <w:bottom w:val="nil"/>
              <w:right w:val="nil"/>
            </w:tcBorders>
            <w:noWrap/>
            <w:hideMark/>
          </w:tcPr>
          <w:p w14:paraId="5A274126" w14:textId="55FF28B3"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-0.3</w:t>
            </w:r>
          </w:p>
        </w:tc>
      </w:tr>
      <w:tr w:rsidR="0068522A" w:rsidRPr="00FC22AA" w14:paraId="6B0A7B70" w14:textId="77777777" w:rsidTr="00697552">
        <w:trPr>
          <w:trHeight w:val="20"/>
        </w:trPr>
        <w:tc>
          <w:tcPr>
            <w:tcW w:w="5103" w:type="dxa"/>
            <w:gridSpan w:val="2"/>
            <w:tcBorders>
              <w:top w:val="nil"/>
              <w:left w:val="nil"/>
              <w:bottom w:val="nil"/>
              <w:right w:val="nil"/>
            </w:tcBorders>
            <w:noWrap/>
            <w:hideMark/>
          </w:tcPr>
          <w:p w14:paraId="73F9F79F" w14:textId="30ACD560" w:rsidR="0068522A" w:rsidRPr="00FC22AA" w:rsidRDefault="0068522A" w:rsidP="0068522A">
            <w:pPr>
              <w:keepNext/>
              <w:keepLines/>
              <w:spacing w:after="0" w:line="240" w:lineRule="auto"/>
              <w:ind w:left="213" w:right="171"/>
              <w:rPr>
                <w:rFonts w:eastAsia="Times New Roman" w:cstheme="minorHAnsi"/>
                <w:lang w:val="en-GB" w:eastAsia="es-ES"/>
              </w:rPr>
            </w:pPr>
            <w:r w:rsidRPr="00FC22AA">
              <w:rPr>
                <w:lang w:val="en-GB"/>
              </w:rPr>
              <w:t>Provisions and other extraordinary expenses</w:t>
            </w:r>
          </w:p>
        </w:tc>
        <w:tc>
          <w:tcPr>
            <w:tcW w:w="1284" w:type="dxa"/>
            <w:tcBorders>
              <w:top w:val="nil"/>
              <w:left w:val="nil"/>
              <w:bottom w:val="nil"/>
              <w:right w:val="nil"/>
            </w:tcBorders>
            <w:noWrap/>
            <w:hideMark/>
          </w:tcPr>
          <w:p w14:paraId="579D74D0" w14:textId="41BD0295"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-2,612</w:t>
            </w:r>
          </w:p>
        </w:tc>
        <w:tc>
          <w:tcPr>
            <w:tcW w:w="1285" w:type="dxa"/>
            <w:tcBorders>
              <w:top w:val="nil"/>
              <w:left w:val="nil"/>
              <w:bottom w:val="nil"/>
              <w:right w:val="nil"/>
            </w:tcBorders>
            <w:noWrap/>
            <w:hideMark/>
          </w:tcPr>
          <w:p w14:paraId="4E9738B0" w14:textId="443F2B9F"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-4,628</w:t>
            </w:r>
          </w:p>
        </w:tc>
        <w:tc>
          <w:tcPr>
            <w:tcW w:w="851" w:type="dxa"/>
            <w:tcBorders>
              <w:top w:val="nil"/>
              <w:left w:val="nil"/>
              <w:bottom w:val="nil"/>
              <w:right w:val="nil"/>
            </w:tcBorders>
            <w:noWrap/>
            <w:hideMark/>
          </w:tcPr>
          <w:p w14:paraId="1A668BB6" w14:textId="1CDDD937"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-43.6</w:t>
            </w:r>
          </w:p>
        </w:tc>
      </w:tr>
      <w:tr w:rsidR="00AE1D25" w:rsidRPr="00FC22AA" w14:paraId="0A6DA8BE" w14:textId="77777777" w:rsidTr="00660546">
        <w:trPr>
          <w:trHeight w:val="20"/>
        </w:trPr>
        <w:tc>
          <w:tcPr>
            <w:tcW w:w="1131" w:type="dxa"/>
            <w:tcBorders>
              <w:top w:val="nil"/>
              <w:left w:val="nil"/>
              <w:bottom w:val="single" w:sz="4" w:space="0" w:color="auto"/>
              <w:right w:val="nil"/>
            </w:tcBorders>
            <w:noWrap/>
            <w:vAlign w:val="bottom"/>
            <w:hideMark/>
          </w:tcPr>
          <w:p w14:paraId="0C2E6BFB" w14:textId="77777777" w:rsidR="00AE1D25" w:rsidRPr="00FC22AA" w:rsidRDefault="00AE1D25" w:rsidP="00AE1D25">
            <w:pPr>
              <w:keepNext/>
              <w:keepLines/>
              <w:spacing w:after="0" w:line="240" w:lineRule="auto"/>
              <w:rPr>
                <w:rFonts w:eastAsia="Times New Roman" w:cstheme="minorHAnsi"/>
                <w:b/>
                <w:bCs/>
                <w:lang w:val="en-GB" w:eastAsia="es-ES"/>
              </w:rPr>
            </w:pPr>
            <w:r w:rsidRPr="00FC22AA">
              <w:rPr>
                <w:rFonts w:eastAsia="Times New Roman" w:cstheme="minorHAnsi"/>
                <w:b/>
                <w:bCs/>
                <w:lang w:val="en-GB" w:eastAsia="es-ES"/>
              </w:rPr>
              <w:t>Ebitda</w:t>
            </w:r>
          </w:p>
        </w:tc>
        <w:tc>
          <w:tcPr>
            <w:tcW w:w="3972" w:type="dxa"/>
            <w:tcBorders>
              <w:top w:val="nil"/>
              <w:left w:val="nil"/>
              <w:bottom w:val="single" w:sz="4" w:space="0" w:color="auto"/>
              <w:right w:val="nil"/>
            </w:tcBorders>
            <w:noWrap/>
            <w:vAlign w:val="bottom"/>
            <w:hideMark/>
          </w:tcPr>
          <w:p w14:paraId="6BF12C0F" w14:textId="2DDEE709" w:rsidR="00AE1D25" w:rsidRPr="00FC22AA" w:rsidRDefault="00AE1D25" w:rsidP="00AE1D25">
            <w:pPr>
              <w:keepNext/>
              <w:keepLines/>
              <w:spacing w:after="0" w:line="240" w:lineRule="auto"/>
              <w:ind w:right="171"/>
              <w:rPr>
                <w:rFonts w:eastAsia="Times New Roman" w:cstheme="minorHAnsi"/>
                <w:b/>
                <w:bCs/>
                <w:lang w:val="en-GB" w:eastAsia="es-ES"/>
              </w:rPr>
            </w:pPr>
            <w:r w:rsidRPr="00FC22AA">
              <w:rPr>
                <w:rFonts w:eastAsia="Times New Roman" w:cstheme="minorHAnsi"/>
                <w:b/>
                <w:bCs/>
                <w:lang w:val="en-GB" w:eastAsia="es-ES"/>
              </w:rPr>
              <w:t> </w:t>
            </w:r>
            <w:r w:rsidR="0068522A" w:rsidRPr="00FC22AA">
              <w:rPr>
                <w:rFonts w:eastAsia="Times New Roman" w:cstheme="minorHAnsi"/>
                <w:b/>
                <w:bCs/>
                <w:lang w:val="en-GB" w:eastAsia="es-ES"/>
              </w:rPr>
              <w:t xml:space="preserve"> </w:t>
            </w:r>
          </w:p>
        </w:tc>
        <w:tc>
          <w:tcPr>
            <w:tcW w:w="1284" w:type="dxa"/>
            <w:tcBorders>
              <w:top w:val="nil"/>
              <w:left w:val="nil"/>
              <w:bottom w:val="single" w:sz="4" w:space="0" w:color="auto"/>
              <w:right w:val="nil"/>
            </w:tcBorders>
            <w:noWrap/>
            <w:hideMark/>
          </w:tcPr>
          <w:p w14:paraId="1E343E47" w14:textId="38A188EB" w:rsidR="00AE1D25" w:rsidRPr="00FC22AA" w:rsidRDefault="0060570D" w:rsidP="00AE1D25">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6</w:t>
            </w:r>
            <w:r w:rsidR="0068522A" w:rsidRPr="00FC22AA">
              <w:rPr>
                <w:rFonts w:eastAsia="Times New Roman" w:cstheme="minorHAnsi"/>
                <w:b/>
                <w:bCs/>
                <w:lang w:val="en-GB" w:eastAsia="es-ES"/>
              </w:rPr>
              <w:t>,</w:t>
            </w:r>
            <w:r w:rsidRPr="00FC22AA">
              <w:rPr>
                <w:rFonts w:eastAsia="Times New Roman" w:cstheme="minorHAnsi"/>
                <w:b/>
                <w:bCs/>
                <w:lang w:val="en-GB" w:eastAsia="es-ES"/>
              </w:rPr>
              <w:t>249</w:t>
            </w:r>
          </w:p>
        </w:tc>
        <w:tc>
          <w:tcPr>
            <w:tcW w:w="1285" w:type="dxa"/>
            <w:tcBorders>
              <w:top w:val="nil"/>
              <w:left w:val="nil"/>
              <w:bottom w:val="single" w:sz="4" w:space="0" w:color="auto"/>
              <w:right w:val="nil"/>
            </w:tcBorders>
            <w:noWrap/>
            <w:hideMark/>
          </w:tcPr>
          <w:p w14:paraId="5545E2F6" w14:textId="6AB2E7D8" w:rsidR="00AE1D25" w:rsidRPr="00FC22AA" w:rsidRDefault="00E33AB8" w:rsidP="00AE1D25">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29</w:t>
            </w:r>
            <w:r w:rsidR="0068522A" w:rsidRPr="00FC22AA">
              <w:rPr>
                <w:rFonts w:eastAsia="Times New Roman" w:cstheme="minorHAnsi"/>
                <w:b/>
                <w:bCs/>
                <w:lang w:val="en-GB" w:eastAsia="es-ES"/>
              </w:rPr>
              <w:t>.</w:t>
            </w:r>
            <w:r w:rsidRPr="00FC22AA">
              <w:rPr>
                <w:rFonts w:eastAsia="Times New Roman" w:cstheme="minorHAnsi"/>
                <w:b/>
                <w:bCs/>
                <w:lang w:val="en-GB" w:eastAsia="es-ES"/>
              </w:rPr>
              <w:t>376</w:t>
            </w:r>
          </w:p>
        </w:tc>
        <w:tc>
          <w:tcPr>
            <w:tcW w:w="851" w:type="dxa"/>
            <w:tcBorders>
              <w:top w:val="nil"/>
              <w:left w:val="nil"/>
              <w:bottom w:val="single" w:sz="4" w:space="0" w:color="auto"/>
              <w:right w:val="nil"/>
            </w:tcBorders>
            <w:noWrap/>
            <w:hideMark/>
          </w:tcPr>
          <w:p w14:paraId="7520E7E8" w14:textId="214BBEF3" w:rsidR="00AE1D25" w:rsidRPr="00FC22AA" w:rsidRDefault="00AE1D25" w:rsidP="00126C64">
            <w:pPr>
              <w:keepNext/>
              <w:keepLines/>
              <w:spacing w:after="0" w:line="240" w:lineRule="auto"/>
              <w:ind w:right="170"/>
              <w:jc w:val="right"/>
              <w:rPr>
                <w:rFonts w:eastAsia="Times New Roman" w:cstheme="minorHAnsi"/>
                <w:b/>
                <w:bCs/>
                <w:lang w:val="en-GB" w:eastAsia="es-ES"/>
              </w:rPr>
            </w:pPr>
            <w:r w:rsidRPr="00FC22AA">
              <w:rPr>
                <w:rFonts w:eastAsia="Times New Roman" w:cstheme="minorHAnsi"/>
                <w:b/>
                <w:bCs/>
                <w:lang w:val="en-GB" w:eastAsia="es-ES"/>
              </w:rPr>
              <w:t>-</w:t>
            </w:r>
            <w:r w:rsidR="0060570D" w:rsidRPr="00FC22AA">
              <w:rPr>
                <w:rFonts w:eastAsia="Times New Roman" w:cstheme="minorHAnsi"/>
                <w:b/>
                <w:bCs/>
                <w:lang w:val="en-GB" w:eastAsia="es-ES"/>
              </w:rPr>
              <w:t>78</w:t>
            </w:r>
            <w:r w:rsidR="0068522A" w:rsidRPr="00FC22AA">
              <w:rPr>
                <w:rFonts w:eastAsia="Times New Roman" w:cstheme="minorHAnsi"/>
                <w:b/>
                <w:bCs/>
                <w:lang w:val="en-GB" w:eastAsia="es-ES"/>
              </w:rPr>
              <w:t>.</w:t>
            </w:r>
            <w:r w:rsidR="0060570D" w:rsidRPr="00FC22AA">
              <w:rPr>
                <w:rFonts w:eastAsia="Times New Roman" w:cstheme="minorHAnsi"/>
                <w:b/>
                <w:bCs/>
                <w:lang w:val="en-GB" w:eastAsia="es-ES"/>
              </w:rPr>
              <w:t>7</w:t>
            </w:r>
          </w:p>
        </w:tc>
      </w:tr>
      <w:tr w:rsidR="00AE1D25" w:rsidRPr="00FC22AA" w14:paraId="66BBCCBD" w14:textId="77777777" w:rsidTr="00660546">
        <w:trPr>
          <w:trHeight w:val="20"/>
        </w:trPr>
        <w:tc>
          <w:tcPr>
            <w:tcW w:w="5103" w:type="dxa"/>
            <w:gridSpan w:val="2"/>
            <w:tcBorders>
              <w:top w:val="nil"/>
              <w:left w:val="nil"/>
              <w:bottom w:val="nil"/>
              <w:right w:val="nil"/>
            </w:tcBorders>
            <w:noWrap/>
            <w:vAlign w:val="bottom"/>
            <w:hideMark/>
          </w:tcPr>
          <w:p w14:paraId="2BEF456F" w14:textId="672C454E" w:rsidR="00AE1D25" w:rsidRPr="00FC22AA" w:rsidRDefault="0068522A" w:rsidP="00AE1D25">
            <w:pPr>
              <w:keepNext/>
              <w:keepLines/>
              <w:spacing w:after="0" w:line="240" w:lineRule="auto"/>
              <w:ind w:right="171"/>
              <w:rPr>
                <w:rFonts w:eastAsia="Times New Roman" w:cstheme="minorHAnsi"/>
                <w:lang w:val="en-GB" w:eastAsia="es-ES"/>
              </w:rPr>
            </w:pPr>
            <w:r w:rsidRPr="00FC22AA">
              <w:rPr>
                <w:rFonts w:eastAsia="Times New Roman" w:cstheme="minorHAnsi"/>
                <w:lang w:val="en-GB" w:eastAsia="es-ES"/>
              </w:rPr>
              <w:t>Amortizations</w:t>
            </w:r>
          </w:p>
        </w:tc>
        <w:tc>
          <w:tcPr>
            <w:tcW w:w="1284" w:type="dxa"/>
            <w:tcBorders>
              <w:top w:val="nil"/>
              <w:left w:val="nil"/>
              <w:bottom w:val="nil"/>
              <w:right w:val="nil"/>
            </w:tcBorders>
            <w:noWrap/>
            <w:hideMark/>
          </w:tcPr>
          <w:p w14:paraId="154786F2" w14:textId="553A4A42" w:rsidR="00AE1D25" w:rsidRPr="00FC22AA" w:rsidRDefault="00AE1D25" w:rsidP="00AE1D25">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w:t>
            </w:r>
            <w:r w:rsidR="0060570D" w:rsidRPr="00FC22AA">
              <w:rPr>
                <w:rFonts w:eastAsia="Times New Roman" w:cstheme="minorHAnsi"/>
                <w:lang w:val="en-GB" w:eastAsia="es-ES"/>
              </w:rPr>
              <w:t>34</w:t>
            </w:r>
            <w:r w:rsidR="0068522A" w:rsidRPr="00FC22AA">
              <w:rPr>
                <w:rFonts w:eastAsia="Times New Roman" w:cstheme="minorHAnsi"/>
                <w:lang w:val="en-GB" w:eastAsia="es-ES"/>
              </w:rPr>
              <w:t>,</w:t>
            </w:r>
            <w:r w:rsidR="0060570D" w:rsidRPr="00FC22AA">
              <w:rPr>
                <w:rFonts w:eastAsia="Times New Roman" w:cstheme="minorHAnsi"/>
                <w:lang w:val="en-GB" w:eastAsia="es-ES"/>
              </w:rPr>
              <w:t>390</w:t>
            </w:r>
          </w:p>
        </w:tc>
        <w:tc>
          <w:tcPr>
            <w:tcW w:w="1285" w:type="dxa"/>
            <w:tcBorders>
              <w:top w:val="nil"/>
              <w:left w:val="nil"/>
              <w:bottom w:val="nil"/>
              <w:right w:val="nil"/>
            </w:tcBorders>
            <w:noWrap/>
            <w:hideMark/>
          </w:tcPr>
          <w:p w14:paraId="7410C0A9" w14:textId="4B41E156" w:rsidR="00AE1D25" w:rsidRPr="00FC22AA" w:rsidRDefault="00F25CBD" w:rsidP="00AE1D25">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-31</w:t>
            </w:r>
            <w:r w:rsidR="0068522A" w:rsidRPr="00FC22AA">
              <w:rPr>
                <w:rFonts w:eastAsia="Times New Roman" w:cstheme="minorHAnsi"/>
                <w:lang w:val="en-GB" w:eastAsia="es-ES"/>
              </w:rPr>
              <w:t>,</w:t>
            </w:r>
            <w:r w:rsidRPr="00FC22AA">
              <w:rPr>
                <w:rFonts w:eastAsia="Times New Roman" w:cstheme="minorHAnsi"/>
                <w:lang w:val="en-GB" w:eastAsia="es-ES"/>
              </w:rPr>
              <w:t>460</w:t>
            </w:r>
          </w:p>
        </w:tc>
        <w:tc>
          <w:tcPr>
            <w:tcW w:w="851" w:type="dxa"/>
            <w:tcBorders>
              <w:top w:val="nil"/>
              <w:left w:val="nil"/>
              <w:bottom w:val="nil"/>
              <w:right w:val="nil"/>
            </w:tcBorders>
            <w:noWrap/>
            <w:hideMark/>
          </w:tcPr>
          <w:p w14:paraId="41BC0FED" w14:textId="659BD693" w:rsidR="00AE1D25" w:rsidRPr="00FC22AA" w:rsidRDefault="0060570D"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9</w:t>
            </w:r>
            <w:r w:rsidR="0068522A" w:rsidRPr="00FC22AA">
              <w:rPr>
                <w:rFonts w:eastAsia="Times New Roman" w:cstheme="minorHAnsi"/>
                <w:lang w:val="en-GB" w:eastAsia="es-ES"/>
              </w:rPr>
              <w:t>.</w:t>
            </w:r>
            <w:r w:rsidRPr="00FC22AA">
              <w:rPr>
                <w:rFonts w:eastAsia="Times New Roman" w:cstheme="minorHAnsi"/>
                <w:lang w:val="en-GB" w:eastAsia="es-ES"/>
              </w:rPr>
              <w:t>3</w:t>
            </w:r>
          </w:p>
        </w:tc>
      </w:tr>
      <w:tr w:rsidR="00680CB4" w:rsidRPr="00FC22AA" w14:paraId="76F9ACB2" w14:textId="77777777" w:rsidTr="00660546">
        <w:trPr>
          <w:trHeight w:val="20"/>
        </w:trPr>
        <w:tc>
          <w:tcPr>
            <w:tcW w:w="5103" w:type="dxa"/>
            <w:gridSpan w:val="2"/>
            <w:tcBorders>
              <w:top w:val="nil"/>
              <w:left w:val="nil"/>
              <w:bottom w:val="nil"/>
              <w:right w:val="nil"/>
            </w:tcBorders>
            <w:noWrap/>
            <w:vAlign w:val="bottom"/>
          </w:tcPr>
          <w:p w14:paraId="27929346" w14:textId="1E6872BF" w:rsidR="00680CB4" w:rsidRPr="00FC22AA" w:rsidRDefault="0068522A" w:rsidP="00680CB4">
            <w:pPr>
              <w:keepNext/>
              <w:keepLines/>
              <w:spacing w:after="0" w:line="240" w:lineRule="auto"/>
              <w:ind w:right="171"/>
              <w:rPr>
                <w:rFonts w:eastAsia="Times New Roman" w:cstheme="minorHAnsi"/>
                <w:lang w:val="en-GB" w:eastAsia="es-ES"/>
              </w:rPr>
            </w:pPr>
            <w:r w:rsidRPr="00FC22AA">
              <w:rPr>
                <w:rFonts w:eastAsia="Times New Roman" w:cstheme="minorHAnsi"/>
                <w:lang w:val="en-GB" w:eastAsia="es-ES"/>
              </w:rPr>
              <w:t>Impairment/reversal of impairment of asset value</w:t>
            </w:r>
          </w:p>
        </w:tc>
        <w:tc>
          <w:tcPr>
            <w:tcW w:w="1284" w:type="dxa"/>
            <w:tcBorders>
              <w:top w:val="nil"/>
              <w:left w:val="nil"/>
              <w:bottom w:val="nil"/>
              <w:right w:val="nil"/>
            </w:tcBorders>
            <w:noWrap/>
          </w:tcPr>
          <w:p w14:paraId="3D28A744" w14:textId="41163102" w:rsidR="00680CB4" w:rsidRPr="00FC22AA" w:rsidRDefault="0060570D" w:rsidP="00680CB4">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w:t>
            </w:r>
          </w:p>
        </w:tc>
        <w:tc>
          <w:tcPr>
            <w:tcW w:w="1285" w:type="dxa"/>
            <w:tcBorders>
              <w:top w:val="nil"/>
              <w:left w:val="nil"/>
              <w:bottom w:val="nil"/>
              <w:right w:val="nil"/>
            </w:tcBorders>
            <w:noWrap/>
          </w:tcPr>
          <w:p w14:paraId="5BA5B671" w14:textId="5EE0E2B4" w:rsidR="00680CB4" w:rsidRPr="00FC22AA" w:rsidRDefault="00257082" w:rsidP="00680CB4">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w:t>
            </w:r>
            <w:r w:rsidR="0068522A" w:rsidRPr="00FC22AA">
              <w:rPr>
                <w:rFonts w:eastAsia="Times New Roman" w:cstheme="minorHAnsi"/>
                <w:lang w:val="en-GB" w:eastAsia="es-ES"/>
              </w:rPr>
              <w:t>,</w:t>
            </w:r>
            <w:r w:rsidRPr="00FC22AA">
              <w:rPr>
                <w:rFonts w:eastAsia="Times New Roman" w:cstheme="minorHAnsi"/>
                <w:lang w:val="en-GB" w:eastAsia="es-ES"/>
              </w:rPr>
              <w:t>055</w:t>
            </w:r>
          </w:p>
        </w:tc>
        <w:tc>
          <w:tcPr>
            <w:tcW w:w="851" w:type="dxa"/>
            <w:tcBorders>
              <w:top w:val="nil"/>
              <w:left w:val="nil"/>
              <w:bottom w:val="nil"/>
              <w:right w:val="nil"/>
            </w:tcBorders>
            <w:noWrap/>
          </w:tcPr>
          <w:p w14:paraId="7F54E59D" w14:textId="007CB223" w:rsidR="00680CB4" w:rsidRPr="00FC22AA" w:rsidRDefault="0060570D" w:rsidP="00680CB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p>
        </w:tc>
      </w:tr>
      <w:tr w:rsidR="00680CB4" w:rsidRPr="00FC22AA" w14:paraId="227B0C46" w14:textId="77777777" w:rsidTr="00660546">
        <w:trPr>
          <w:trHeight w:val="20"/>
        </w:trPr>
        <w:tc>
          <w:tcPr>
            <w:tcW w:w="1131" w:type="dxa"/>
            <w:tcBorders>
              <w:top w:val="nil"/>
              <w:left w:val="nil"/>
              <w:bottom w:val="single" w:sz="4" w:space="0" w:color="auto"/>
              <w:right w:val="nil"/>
            </w:tcBorders>
            <w:noWrap/>
            <w:vAlign w:val="bottom"/>
            <w:hideMark/>
          </w:tcPr>
          <w:p w14:paraId="2E136709" w14:textId="77777777" w:rsidR="00680CB4" w:rsidRPr="00FC22AA" w:rsidRDefault="00680CB4" w:rsidP="00680CB4">
            <w:pPr>
              <w:keepNext/>
              <w:keepLines/>
              <w:spacing w:after="0" w:line="240" w:lineRule="auto"/>
              <w:rPr>
                <w:rFonts w:eastAsia="Times New Roman" w:cstheme="minorHAnsi"/>
                <w:b/>
                <w:bCs/>
                <w:lang w:val="en-GB" w:eastAsia="es-ES"/>
              </w:rPr>
            </w:pPr>
            <w:r w:rsidRPr="00FC22AA">
              <w:rPr>
                <w:rFonts w:eastAsia="Times New Roman" w:cstheme="minorHAnsi"/>
                <w:b/>
                <w:bCs/>
                <w:lang w:val="en-GB" w:eastAsia="es-ES"/>
              </w:rPr>
              <w:t>Ebit</w:t>
            </w:r>
          </w:p>
        </w:tc>
        <w:tc>
          <w:tcPr>
            <w:tcW w:w="3972" w:type="dxa"/>
            <w:tcBorders>
              <w:top w:val="nil"/>
              <w:left w:val="nil"/>
              <w:bottom w:val="single" w:sz="4" w:space="0" w:color="auto"/>
              <w:right w:val="nil"/>
            </w:tcBorders>
            <w:noWrap/>
            <w:vAlign w:val="bottom"/>
            <w:hideMark/>
          </w:tcPr>
          <w:p w14:paraId="39648D66" w14:textId="77777777" w:rsidR="00680CB4" w:rsidRPr="00FC22AA" w:rsidRDefault="00680CB4" w:rsidP="00680CB4">
            <w:pPr>
              <w:keepNext/>
              <w:keepLines/>
              <w:spacing w:after="0" w:line="240" w:lineRule="auto"/>
              <w:ind w:right="171"/>
              <w:rPr>
                <w:rFonts w:eastAsia="Times New Roman" w:cstheme="minorHAnsi"/>
                <w:b/>
                <w:bCs/>
                <w:lang w:val="en-GB" w:eastAsia="es-ES"/>
              </w:rPr>
            </w:pPr>
            <w:r w:rsidRPr="00FC22AA">
              <w:rPr>
                <w:rFonts w:eastAsia="Times New Roman" w:cstheme="minorHAnsi"/>
                <w:b/>
                <w:bCs/>
                <w:lang w:val="en-GB" w:eastAsia="es-ES"/>
              </w:rPr>
              <w:t> </w:t>
            </w:r>
          </w:p>
        </w:tc>
        <w:tc>
          <w:tcPr>
            <w:tcW w:w="1284" w:type="dxa"/>
            <w:tcBorders>
              <w:top w:val="nil"/>
              <w:left w:val="nil"/>
              <w:bottom w:val="single" w:sz="4" w:space="0" w:color="auto"/>
              <w:right w:val="nil"/>
            </w:tcBorders>
            <w:noWrap/>
            <w:hideMark/>
          </w:tcPr>
          <w:p w14:paraId="619166AF" w14:textId="0839005B" w:rsidR="00680CB4" w:rsidRPr="00FC22AA" w:rsidRDefault="00680CB4" w:rsidP="00680CB4">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-2</w:t>
            </w:r>
            <w:r w:rsidR="0060570D" w:rsidRPr="00FC22AA">
              <w:rPr>
                <w:rFonts w:eastAsia="Times New Roman" w:cstheme="minorHAnsi"/>
                <w:b/>
                <w:bCs/>
                <w:lang w:val="en-GB" w:eastAsia="es-ES"/>
              </w:rPr>
              <w:t>8</w:t>
            </w:r>
            <w:r w:rsidR="0068522A" w:rsidRPr="00FC22AA">
              <w:rPr>
                <w:rFonts w:eastAsia="Times New Roman" w:cstheme="minorHAnsi"/>
                <w:b/>
                <w:bCs/>
                <w:lang w:val="en-GB" w:eastAsia="es-ES"/>
              </w:rPr>
              <w:t>,</w:t>
            </w:r>
            <w:r w:rsidR="0060570D" w:rsidRPr="00FC22AA">
              <w:rPr>
                <w:rFonts w:eastAsia="Times New Roman" w:cstheme="minorHAnsi"/>
                <w:b/>
                <w:bCs/>
                <w:lang w:val="en-GB" w:eastAsia="es-ES"/>
              </w:rPr>
              <w:t>141</w:t>
            </w:r>
          </w:p>
        </w:tc>
        <w:tc>
          <w:tcPr>
            <w:tcW w:w="1285" w:type="dxa"/>
            <w:tcBorders>
              <w:top w:val="nil"/>
              <w:left w:val="nil"/>
              <w:bottom w:val="single" w:sz="4" w:space="0" w:color="auto"/>
              <w:right w:val="nil"/>
            </w:tcBorders>
            <w:noWrap/>
            <w:hideMark/>
          </w:tcPr>
          <w:p w14:paraId="221D1F3E" w14:textId="2674B1AD" w:rsidR="00680CB4" w:rsidRPr="00FC22AA" w:rsidRDefault="00D138E6" w:rsidP="00680CB4">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-3</w:t>
            </w:r>
            <w:r w:rsidR="0068522A" w:rsidRPr="00FC22AA">
              <w:rPr>
                <w:rFonts w:eastAsia="Times New Roman" w:cstheme="minorHAnsi"/>
                <w:b/>
                <w:bCs/>
                <w:lang w:val="en-GB" w:eastAsia="es-ES"/>
              </w:rPr>
              <w:t>.</w:t>
            </w:r>
            <w:r w:rsidRPr="00FC22AA">
              <w:rPr>
                <w:rFonts w:eastAsia="Times New Roman" w:cstheme="minorHAnsi"/>
                <w:b/>
                <w:bCs/>
                <w:lang w:val="en-GB" w:eastAsia="es-ES"/>
              </w:rPr>
              <w:t>139</w:t>
            </w:r>
          </w:p>
        </w:tc>
        <w:tc>
          <w:tcPr>
            <w:tcW w:w="851" w:type="dxa"/>
            <w:tcBorders>
              <w:top w:val="nil"/>
              <w:left w:val="nil"/>
              <w:bottom w:val="single" w:sz="4" w:space="0" w:color="auto"/>
              <w:right w:val="nil"/>
            </w:tcBorders>
            <w:noWrap/>
            <w:hideMark/>
          </w:tcPr>
          <w:p w14:paraId="524454EE" w14:textId="1C300F30" w:rsidR="00680CB4" w:rsidRPr="00FC22AA" w:rsidRDefault="00680CB4" w:rsidP="00126C64">
            <w:pPr>
              <w:keepNext/>
              <w:keepLines/>
              <w:spacing w:after="0" w:line="240" w:lineRule="auto"/>
              <w:ind w:right="57"/>
              <w:jc w:val="right"/>
              <w:rPr>
                <w:rFonts w:eastAsia="Times New Roman" w:cstheme="minorHAnsi"/>
                <w:b/>
                <w:bCs/>
                <w:lang w:val="en-GB" w:eastAsia="es-ES"/>
              </w:rPr>
            </w:pPr>
            <w:r w:rsidRPr="00FC22AA">
              <w:rPr>
                <w:rFonts w:eastAsia="Times New Roman" w:cstheme="minorHAnsi"/>
                <w:b/>
                <w:bCs/>
                <w:lang w:val="en-GB" w:eastAsia="es-ES"/>
              </w:rPr>
              <w:t>×</w:t>
            </w:r>
            <w:r w:rsidR="00EE43BC" w:rsidRPr="00FC22AA">
              <w:rPr>
                <w:rFonts w:eastAsia="Times New Roman" w:cstheme="minorHAnsi"/>
                <w:b/>
                <w:bCs/>
                <w:lang w:val="en-GB" w:eastAsia="es-ES"/>
              </w:rPr>
              <w:t>9</w:t>
            </w:r>
            <w:r w:rsidR="0068522A" w:rsidRPr="00FC22AA">
              <w:rPr>
                <w:rFonts w:eastAsia="Times New Roman" w:cstheme="minorHAnsi"/>
                <w:b/>
                <w:bCs/>
                <w:lang w:val="en-GB" w:eastAsia="es-ES"/>
              </w:rPr>
              <w:t>.</w:t>
            </w:r>
            <w:r w:rsidR="00EE43BC" w:rsidRPr="00FC22AA">
              <w:rPr>
                <w:rFonts w:eastAsia="Times New Roman" w:cstheme="minorHAnsi"/>
                <w:b/>
                <w:bCs/>
                <w:lang w:val="en-GB" w:eastAsia="es-ES"/>
              </w:rPr>
              <w:t>0</w:t>
            </w:r>
            <w:r w:rsidRPr="00FC22AA">
              <w:rPr>
                <w:rFonts w:eastAsia="Times New Roman" w:cstheme="minorHAnsi"/>
                <w:b/>
                <w:bCs/>
                <w:lang w:val="en-GB" w:eastAsia="es-ES"/>
              </w:rPr>
              <w:t>*</w:t>
            </w:r>
          </w:p>
        </w:tc>
      </w:tr>
      <w:tr w:rsidR="00680CB4" w:rsidRPr="00FC22AA" w14:paraId="51DD0A55" w14:textId="77777777" w:rsidTr="00660546">
        <w:trPr>
          <w:trHeight w:val="20"/>
        </w:trPr>
        <w:tc>
          <w:tcPr>
            <w:tcW w:w="5103" w:type="dxa"/>
            <w:gridSpan w:val="2"/>
            <w:tcBorders>
              <w:top w:val="nil"/>
              <w:left w:val="nil"/>
              <w:bottom w:val="nil"/>
              <w:right w:val="nil"/>
            </w:tcBorders>
            <w:noWrap/>
            <w:vAlign w:val="bottom"/>
            <w:hideMark/>
          </w:tcPr>
          <w:p w14:paraId="65929CCA" w14:textId="54ADB1F2" w:rsidR="00680CB4" w:rsidRPr="00FC22AA" w:rsidRDefault="0068522A" w:rsidP="00680CB4">
            <w:pPr>
              <w:keepNext/>
              <w:keepLines/>
              <w:spacing w:after="0" w:line="240" w:lineRule="auto"/>
              <w:ind w:right="171"/>
              <w:rPr>
                <w:rFonts w:eastAsia="Times New Roman" w:cstheme="minorHAnsi"/>
                <w:lang w:val="en-GB" w:eastAsia="es-ES"/>
              </w:rPr>
            </w:pPr>
            <w:r w:rsidRPr="00FC22AA">
              <w:rPr>
                <w:rFonts w:eastAsia="Times New Roman" w:cstheme="minorHAnsi"/>
                <w:lang w:val="en-GB" w:eastAsia="es-ES"/>
              </w:rPr>
              <w:t>Financial result</w:t>
            </w:r>
          </w:p>
        </w:tc>
        <w:tc>
          <w:tcPr>
            <w:tcW w:w="1284" w:type="dxa"/>
            <w:tcBorders>
              <w:top w:val="nil"/>
              <w:left w:val="nil"/>
              <w:bottom w:val="nil"/>
              <w:right w:val="nil"/>
            </w:tcBorders>
            <w:noWrap/>
            <w:hideMark/>
          </w:tcPr>
          <w:p w14:paraId="4495D689" w14:textId="7B3F0DF7" w:rsidR="00680CB4" w:rsidRPr="00FC22AA" w:rsidRDefault="00680CB4" w:rsidP="00680CB4">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w:t>
            </w:r>
            <w:r w:rsidR="0060570D" w:rsidRPr="00FC22AA">
              <w:rPr>
                <w:rFonts w:eastAsia="Times New Roman" w:cstheme="minorHAnsi"/>
                <w:lang w:val="en-GB" w:eastAsia="es-ES"/>
              </w:rPr>
              <w:t>12</w:t>
            </w:r>
            <w:r w:rsidR="0068522A" w:rsidRPr="00FC22AA">
              <w:rPr>
                <w:rFonts w:eastAsia="Times New Roman" w:cstheme="minorHAnsi"/>
                <w:lang w:val="en-GB" w:eastAsia="es-ES"/>
              </w:rPr>
              <w:t>,</w:t>
            </w:r>
            <w:r w:rsidR="00122D34" w:rsidRPr="00FC22AA">
              <w:rPr>
                <w:rFonts w:eastAsia="Times New Roman" w:cstheme="minorHAnsi"/>
                <w:lang w:val="en-GB" w:eastAsia="es-ES"/>
              </w:rPr>
              <w:t>1</w:t>
            </w:r>
            <w:r w:rsidR="009B6573" w:rsidRPr="00FC22AA">
              <w:rPr>
                <w:rFonts w:eastAsia="Times New Roman" w:cstheme="minorHAnsi"/>
                <w:lang w:val="en-GB" w:eastAsia="es-ES"/>
              </w:rPr>
              <w:t>27</w:t>
            </w:r>
          </w:p>
        </w:tc>
        <w:tc>
          <w:tcPr>
            <w:tcW w:w="1285" w:type="dxa"/>
            <w:tcBorders>
              <w:top w:val="nil"/>
              <w:left w:val="nil"/>
              <w:bottom w:val="nil"/>
              <w:right w:val="nil"/>
            </w:tcBorders>
            <w:noWrap/>
            <w:hideMark/>
          </w:tcPr>
          <w:p w14:paraId="435427DA" w14:textId="65F29A8B" w:rsidR="00680CB4" w:rsidRPr="00FC22AA" w:rsidRDefault="007D617F" w:rsidP="00680CB4">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-9</w:t>
            </w:r>
            <w:r w:rsidR="0068522A" w:rsidRPr="00FC22AA">
              <w:rPr>
                <w:rFonts w:eastAsia="Times New Roman" w:cstheme="minorHAnsi"/>
                <w:lang w:val="en-GB" w:eastAsia="es-ES"/>
              </w:rPr>
              <w:t>,</w:t>
            </w:r>
            <w:r w:rsidRPr="00FC22AA">
              <w:rPr>
                <w:rFonts w:eastAsia="Times New Roman" w:cstheme="minorHAnsi"/>
                <w:lang w:val="en-GB" w:eastAsia="es-ES"/>
              </w:rPr>
              <w:t>115</w:t>
            </w:r>
          </w:p>
        </w:tc>
        <w:tc>
          <w:tcPr>
            <w:tcW w:w="851" w:type="dxa"/>
            <w:tcBorders>
              <w:top w:val="nil"/>
              <w:left w:val="nil"/>
              <w:bottom w:val="nil"/>
              <w:right w:val="nil"/>
            </w:tcBorders>
            <w:noWrap/>
            <w:hideMark/>
          </w:tcPr>
          <w:p w14:paraId="0E89A71F" w14:textId="34E7E879" w:rsidR="00680CB4" w:rsidRPr="00FC22AA" w:rsidRDefault="00B46631" w:rsidP="00126C64">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3</w:t>
            </w:r>
            <w:r w:rsidR="009B6573" w:rsidRPr="00FC22AA">
              <w:rPr>
                <w:rFonts w:eastAsia="Times New Roman" w:cstheme="minorHAnsi"/>
                <w:lang w:val="en-GB" w:eastAsia="es-ES"/>
              </w:rPr>
              <w:t>3</w:t>
            </w:r>
            <w:r w:rsidR="0068522A" w:rsidRPr="00FC22AA">
              <w:rPr>
                <w:rFonts w:eastAsia="Times New Roman" w:cstheme="minorHAnsi"/>
                <w:lang w:val="en-GB" w:eastAsia="es-ES"/>
              </w:rPr>
              <w:t>.</w:t>
            </w:r>
            <w:r w:rsidR="009B6573" w:rsidRPr="00FC22AA">
              <w:rPr>
                <w:rFonts w:eastAsia="Times New Roman" w:cstheme="minorHAnsi"/>
                <w:lang w:val="en-GB" w:eastAsia="es-ES"/>
              </w:rPr>
              <w:t>0</w:t>
            </w:r>
          </w:p>
        </w:tc>
      </w:tr>
      <w:tr w:rsidR="00680CB4" w:rsidRPr="00FC22AA" w14:paraId="605436BE" w14:textId="77777777" w:rsidTr="00660546">
        <w:trPr>
          <w:trHeight w:val="20"/>
        </w:trPr>
        <w:tc>
          <w:tcPr>
            <w:tcW w:w="5103" w:type="dxa"/>
            <w:gridSpan w:val="2"/>
            <w:tcBorders>
              <w:top w:val="nil"/>
              <w:left w:val="nil"/>
              <w:bottom w:val="single" w:sz="4" w:space="0" w:color="auto"/>
              <w:right w:val="nil"/>
            </w:tcBorders>
            <w:noWrap/>
            <w:vAlign w:val="bottom"/>
            <w:hideMark/>
          </w:tcPr>
          <w:p w14:paraId="27E22FF4" w14:textId="40BD29D4" w:rsidR="00680CB4" w:rsidRPr="00FC22AA" w:rsidRDefault="0068522A" w:rsidP="00680CB4">
            <w:pPr>
              <w:keepNext/>
              <w:keepLines/>
              <w:spacing w:after="0" w:line="240" w:lineRule="auto"/>
              <w:ind w:right="171"/>
              <w:rPr>
                <w:rFonts w:eastAsia="Times New Roman" w:cstheme="minorHAnsi"/>
                <w:b/>
                <w:bCs/>
                <w:lang w:val="en-GB" w:eastAsia="es-ES"/>
              </w:rPr>
            </w:pPr>
            <w:r w:rsidRPr="00FC22AA">
              <w:rPr>
                <w:rFonts w:eastAsia="Times New Roman" w:cstheme="minorHAnsi"/>
                <w:b/>
                <w:bCs/>
                <w:lang w:val="en-GB" w:eastAsia="es-ES"/>
              </w:rPr>
              <w:t>Pre-tax profit/loss</w:t>
            </w:r>
          </w:p>
        </w:tc>
        <w:tc>
          <w:tcPr>
            <w:tcW w:w="1284" w:type="dxa"/>
            <w:tcBorders>
              <w:top w:val="nil"/>
              <w:left w:val="nil"/>
              <w:bottom w:val="single" w:sz="4" w:space="0" w:color="auto"/>
              <w:right w:val="nil"/>
            </w:tcBorders>
            <w:noWrap/>
            <w:hideMark/>
          </w:tcPr>
          <w:p w14:paraId="2B566BA6" w14:textId="6D8BC71F" w:rsidR="00680CB4" w:rsidRPr="00FC22AA" w:rsidRDefault="00680CB4" w:rsidP="00680CB4">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w:t>
            </w:r>
            <w:r w:rsidR="0060570D" w:rsidRPr="00FC22AA">
              <w:rPr>
                <w:rFonts w:eastAsia="Times New Roman" w:cstheme="minorHAnsi"/>
                <w:b/>
                <w:bCs/>
                <w:lang w:val="en-GB" w:eastAsia="es-ES"/>
              </w:rPr>
              <w:t>40</w:t>
            </w:r>
            <w:r w:rsidR="0068522A" w:rsidRPr="00FC22AA">
              <w:rPr>
                <w:rFonts w:eastAsia="Times New Roman" w:cstheme="minorHAnsi"/>
                <w:b/>
                <w:bCs/>
                <w:lang w:val="en-GB" w:eastAsia="es-ES"/>
              </w:rPr>
              <w:t>,</w:t>
            </w:r>
            <w:r w:rsidR="0060570D" w:rsidRPr="00FC22AA">
              <w:rPr>
                <w:rFonts w:eastAsia="Times New Roman" w:cstheme="minorHAnsi"/>
                <w:b/>
                <w:bCs/>
                <w:lang w:val="en-GB" w:eastAsia="es-ES"/>
              </w:rPr>
              <w:t>2</w:t>
            </w:r>
            <w:r w:rsidR="009B6573" w:rsidRPr="00FC22AA">
              <w:rPr>
                <w:rFonts w:eastAsia="Times New Roman" w:cstheme="minorHAnsi"/>
                <w:b/>
                <w:bCs/>
                <w:lang w:val="en-GB" w:eastAsia="es-ES"/>
              </w:rPr>
              <w:t>68</w:t>
            </w:r>
          </w:p>
        </w:tc>
        <w:tc>
          <w:tcPr>
            <w:tcW w:w="1285" w:type="dxa"/>
            <w:tcBorders>
              <w:top w:val="nil"/>
              <w:left w:val="nil"/>
              <w:bottom w:val="single" w:sz="4" w:space="0" w:color="auto"/>
              <w:right w:val="nil"/>
            </w:tcBorders>
            <w:noWrap/>
            <w:hideMark/>
          </w:tcPr>
          <w:p w14:paraId="2D6C8823" w14:textId="06986F6A" w:rsidR="00680CB4" w:rsidRPr="00FC22AA" w:rsidRDefault="00582FC5" w:rsidP="00680CB4">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-12</w:t>
            </w:r>
            <w:r w:rsidR="0068522A" w:rsidRPr="00FC22AA">
              <w:rPr>
                <w:rFonts w:eastAsia="Times New Roman" w:cstheme="minorHAnsi"/>
                <w:b/>
                <w:bCs/>
                <w:lang w:val="en-GB" w:eastAsia="es-ES"/>
              </w:rPr>
              <w:t>,</w:t>
            </w:r>
            <w:r w:rsidRPr="00FC22AA">
              <w:rPr>
                <w:rFonts w:eastAsia="Times New Roman" w:cstheme="minorHAnsi"/>
                <w:b/>
                <w:bCs/>
                <w:lang w:val="en-GB" w:eastAsia="es-ES"/>
              </w:rPr>
              <w:t>254</w:t>
            </w:r>
          </w:p>
        </w:tc>
        <w:tc>
          <w:tcPr>
            <w:tcW w:w="851" w:type="dxa"/>
            <w:tcBorders>
              <w:top w:val="nil"/>
              <w:left w:val="nil"/>
              <w:bottom w:val="single" w:sz="4" w:space="0" w:color="auto"/>
              <w:right w:val="nil"/>
            </w:tcBorders>
            <w:noWrap/>
            <w:hideMark/>
          </w:tcPr>
          <w:p w14:paraId="37AF6F79" w14:textId="6373E42A" w:rsidR="00680CB4" w:rsidRPr="00FC22AA" w:rsidRDefault="00680CB4" w:rsidP="00126C64">
            <w:pPr>
              <w:keepNext/>
              <w:keepLines/>
              <w:spacing w:after="0" w:line="240" w:lineRule="auto"/>
              <w:ind w:right="57"/>
              <w:jc w:val="right"/>
              <w:rPr>
                <w:lang w:val="en-GB"/>
              </w:rPr>
            </w:pPr>
            <w:r w:rsidRPr="00FC22AA">
              <w:rPr>
                <w:rFonts w:eastAsia="Times New Roman" w:cstheme="minorHAnsi"/>
                <w:b/>
                <w:bCs/>
                <w:lang w:val="en-GB" w:eastAsia="es-ES"/>
              </w:rPr>
              <w:t>×3</w:t>
            </w:r>
            <w:r w:rsidR="0068522A" w:rsidRPr="00FC22AA">
              <w:rPr>
                <w:rFonts w:eastAsia="Times New Roman" w:cstheme="minorHAnsi"/>
                <w:b/>
                <w:bCs/>
                <w:lang w:val="en-GB" w:eastAsia="es-ES"/>
              </w:rPr>
              <w:t>.</w:t>
            </w:r>
            <w:r w:rsidR="00B46631" w:rsidRPr="00FC22AA">
              <w:rPr>
                <w:rFonts w:eastAsia="Times New Roman" w:cstheme="minorHAnsi"/>
                <w:b/>
                <w:bCs/>
                <w:lang w:val="en-GB" w:eastAsia="es-ES"/>
              </w:rPr>
              <w:t>3</w:t>
            </w:r>
            <w:r w:rsidRPr="00FC22AA">
              <w:rPr>
                <w:rFonts w:eastAsia="Times New Roman" w:cstheme="minorHAnsi"/>
                <w:b/>
                <w:bCs/>
                <w:lang w:val="en-GB" w:eastAsia="es-ES"/>
              </w:rPr>
              <w:t>*</w:t>
            </w:r>
          </w:p>
        </w:tc>
      </w:tr>
      <w:tr w:rsidR="0068522A" w:rsidRPr="00FC22AA" w14:paraId="07B4D30D" w14:textId="77777777" w:rsidTr="00126C64">
        <w:trPr>
          <w:trHeight w:val="20"/>
        </w:trPr>
        <w:tc>
          <w:tcPr>
            <w:tcW w:w="5103" w:type="dxa"/>
            <w:gridSpan w:val="2"/>
            <w:tcBorders>
              <w:top w:val="single" w:sz="4" w:space="0" w:color="auto"/>
              <w:left w:val="nil"/>
              <w:bottom w:val="single" w:sz="8" w:space="0" w:color="auto"/>
              <w:right w:val="nil"/>
            </w:tcBorders>
            <w:noWrap/>
            <w:vAlign w:val="bottom"/>
            <w:hideMark/>
          </w:tcPr>
          <w:p w14:paraId="19C5034C" w14:textId="6BB4C61E" w:rsidR="0068522A" w:rsidRPr="00FC22AA" w:rsidRDefault="0068522A" w:rsidP="0068522A">
            <w:pPr>
              <w:keepNext/>
              <w:keepLines/>
              <w:spacing w:after="0" w:line="240" w:lineRule="auto"/>
              <w:ind w:right="171"/>
              <w:rPr>
                <w:rFonts w:eastAsia="Times New Roman" w:cstheme="minorHAnsi"/>
                <w:lang w:val="en-GB" w:eastAsia="es-ES"/>
              </w:rPr>
            </w:pPr>
            <w:r w:rsidRPr="00FC22AA">
              <w:rPr>
                <w:rFonts w:eastAsia="Times New Roman" w:cstheme="minorHAnsi"/>
                <w:lang w:val="en-GB" w:eastAsia="es-ES"/>
              </w:rPr>
              <w:t>Income tax</w:t>
            </w:r>
          </w:p>
        </w:tc>
        <w:tc>
          <w:tcPr>
            <w:tcW w:w="1284" w:type="dxa"/>
            <w:tcBorders>
              <w:top w:val="single" w:sz="4" w:space="0" w:color="auto"/>
              <w:left w:val="nil"/>
              <w:bottom w:val="single" w:sz="8" w:space="0" w:color="auto"/>
              <w:right w:val="nil"/>
            </w:tcBorders>
            <w:noWrap/>
            <w:hideMark/>
          </w:tcPr>
          <w:p w14:paraId="361C4025" w14:textId="3BE97FFA"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-13,317</w:t>
            </w:r>
          </w:p>
        </w:tc>
        <w:tc>
          <w:tcPr>
            <w:tcW w:w="1285" w:type="dxa"/>
            <w:tcBorders>
              <w:top w:val="single" w:sz="4" w:space="0" w:color="auto"/>
              <w:left w:val="nil"/>
              <w:bottom w:val="single" w:sz="8" w:space="0" w:color="auto"/>
              <w:right w:val="nil"/>
            </w:tcBorders>
            <w:noWrap/>
            <w:hideMark/>
          </w:tcPr>
          <w:p w14:paraId="74D5947E" w14:textId="3F36BAAC" w:rsidR="0068522A" w:rsidRPr="00FC22AA" w:rsidRDefault="0068522A" w:rsidP="0068522A">
            <w:pPr>
              <w:keepNext/>
              <w:keepLines/>
              <w:spacing w:after="0" w:line="240" w:lineRule="auto"/>
              <w:ind w:right="227"/>
              <w:jc w:val="right"/>
              <w:rPr>
                <w:rFonts w:eastAsia="Times New Roman" w:cstheme="minorHAnsi"/>
                <w:lang w:val="en-GB" w:eastAsia="es-ES"/>
              </w:rPr>
            </w:pPr>
            <w:r w:rsidRPr="00FC22AA">
              <w:rPr>
                <w:rFonts w:eastAsia="Times New Roman" w:cstheme="minorHAnsi"/>
                <w:lang w:val="en-GB" w:eastAsia="es-ES"/>
              </w:rPr>
              <w:t>597</w:t>
            </w:r>
          </w:p>
        </w:tc>
        <w:tc>
          <w:tcPr>
            <w:tcW w:w="851" w:type="dxa"/>
            <w:tcBorders>
              <w:top w:val="single" w:sz="4" w:space="0" w:color="auto"/>
              <w:left w:val="nil"/>
              <w:bottom w:val="single" w:sz="8" w:space="0" w:color="auto"/>
              <w:right w:val="nil"/>
            </w:tcBorders>
            <w:noWrap/>
            <w:hideMark/>
          </w:tcPr>
          <w:p w14:paraId="40AEA9CC" w14:textId="6B0CA17D" w:rsidR="0068522A" w:rsidRPr="00FC22AA" w:rsidRDefault="0068522A" w:rsidP="0068522A">
            <w:pPr>
              <w:keepNext/>
              <w:keepLines/>
              <w:spacing w:after="0" w:line="240" w:lineRule="auto"/>
              <w:ind w:right="170"/>
              <w:jc w:val="right"/>
              <w:rPr>
                <w:rFonts w:eastAsia="Times New Roman" w:cstheme="minorHAnsi"/>
                <w:lang w:val="en-GB" w:eastAsia="es-ES"/>
              </w:rPr>
            </w:pPr>
            <w:r w:rsidRPr="00FC22AA">
              <w:rPr>
                <w:rFonts w:eastAsia="Times New Roman" w:cstheme="minorHAnsi"/>
                <w:lang w:val="en-GB" w:eastAsia="es-ES"/>
              </w:rPr>
              <w:t>-</w:t>
            </w:r>
          </w:p>
        </w:tc>
      </w:tr>
      <w:tr w:rsidR="0068522A" w:rsidRPr="00FC22AA" w14:paraId="464AE63F" w14:textId="77777777" w:rsidTr="00126C64">
        <w:trPr>
          <w:trHeight w:val="20"/>
        </w:trPr>
        <w:tc>
          <w:tcPr>
            <w:tcW w:w="5103" w:type="dxa"/>
            <w:gridSpan w:val="2"/>
            <w:tcBorders>
              <w:top w:val="single" w:sz="8" w:space="0" w:color="auto"/>
              <w:left w:val="nil"/>
              <w:bottom w:val="single" w:sz="8" w:space="0" w:color="auto"/>
              <w:right w:val="nil"/>
            </w:tcBorders>
            <w:noWrap/>
            <w:vAlign w:val="bottom"/>
          </w:tcPr>
          <w:p w14:paraId="3522B885" w14:textId="621CF689" w:rsidR="0068522A" w:rsidRPr="00FC22AA" w:rsidRDefault="0068522A" w:rsidP="0068522A">
            <w:pPr>
              <w:keepNext/>
              <w:keepLines/>
              <w:spacing w:after="0" w:line="240" w:lineRule="auto"/>
              <w:ind w:right="171"/>
              <w:rPr>
                <w:rFonts w:eastAsia="Times New Roman" w:cstheme="minorHAnsi"/>
                <w:b/>
                <w:bCs/>
                <w:lang w:val="en-GB" w:eastAsia="es-ES"/>
              </w:rPr>
            </w:pPr>
            <w:r w:rsidRPr="00FC22AA">
              <w:rPr>
                <w:rFonts w:eastAsia="Times New Roman" w:cstheme="minorHAnsi"/>
                <w:b/>
                <w:bCs/>
                <w:lang w:val="en-GB" w:eastAsia="es-ES"/>
              </w:rPr>
              <w:t>Profit/loss for the period</w:t>
            </w:r>
          </w:p>
        </w:tc>
        <w:tc>
          <w:tcPr>
            <w:tcW w:w="1284" w:type="dxa"/>
            <w:tcBorders>
              <w:top w:val="single" w:sz="8" w:space="0" w:color="auto"/>
              <w:left w:val="nil"/>
              <w:bottom w:val="single" w:sz="8" w:space="0" w:color="auto"/>
              <w:right w:val="nil"/>
            </w:tcBorders>
            <w:noWrap/>
          </w:tcPr>
          <w:p w14:paraId="100D9DD6" w14:textId="21091BB8" w:rsidR="0068522A" w:rsidRPr="00FC22AA" w:rsidRDefault="0068522A" w:rsidP="0068522A">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-53,585</w:t>
            </w:r>
          </w:p>
        </w:tc>
        <w:tc>
          <w:tcPr>
            <w:tcW w:w="1285" w:type="dxa"/>
            <w:tcBorders>
              <w:top w:val="single" w:sz="8" w:space="0" w:color="auto"/>
              <w:left w:val="nil"/>
              <w:bottom w:val="single" w:sz="8" w:space="0" w:color="auto"/>
              <w:right w:val="nil"/>
            </w:tcBorders>
            <w:noWrap/>
          </w:tcPr>
          <w:p w14:paraId="756CD436" w14:textId="3A636815" w:rsidR="0068522A" w:rsidRPr="00FC22AA" w:rsidRDefault="0068522A" w:rsidP="0068522A">
            <w:pPr>
              <w:keepNext/>
              <w:keepLines/>
              <w:spacing w:after="0" w:line="240" w:lineRule="auto"/>
              <w:ind w:right="227"/>
              <w:jc w:val="right"/>
              <w:rPr>
                <w:rFonts w:eastAsia="Times New Roman" w:cstheme="minorHAnsi"/>
                <w:b/>
                <w:bCs/>
                <w:lang w:val="en-GB" w:eastAsia="es-ES"/>
              </w:rPr>
            </w:pPr>
            <w:r w:rsidRPr="00FC22AA">
              <w:rPr>
                <w:rFonts w:eastAsia="Times New Roman" w:cstheme="minorHAnsi"/>
                <w:b/>
                <w:bCs/>
                <w:lang w:val="en-GB" w:eastAsia="es-ES"/>
              </w:rPr>
              <w:t>-11,657</w:t>
            </w:r>
          </w:p>
        </w:tc>
        <w:tc>
          <w:tcPr>
            <w:tcW w:w="851" w:type="dxa"/>
            <w:tcBorders>
              <w:top w:val="single" w:sz="8" w:space="0" w:color="auto"/>
              <w:left w:val="nil"/>
              <w:bottom w:val="single" w:sz="8" w:space="0" w:color="auto"/>
              <w:right w:val="nil"/>
            </w:tcBorders>
            <w:noWrap/>
          </w:tcPr>
          <w:p w14:paraId="6B1601AB" w14:textId="0BEBADB4" w:rsidR="0068522A" w:rsidRPr="00FC22AA" w:rsidRDefault="0068522A" w:rsidP="0068522A">
            <w:pPr>
              <w:keepNext/>
              <w:keepLines/>
              <w:spacing w:after="0" w:line="240" w:lineRule="auto"/>
              <w:ind w:right="57"/>
              <w:jc w:val="right"/>
              <w:rPr>
                <w:rFonts w:eastAsia="Times New Roman" w:cstheme="minorHAnsi"/>
                <w:b/>
                <w:bCs/>
                <w:lang w:val="en-GB" w:eastAsia="es-ES"/>
              </w:rPr>
            </w:pPr>
            <w:r w:rsidRPr="00FC22AA">
              <w:rPr>
                <w:rFonts w:eastAsia="Times New Roman" w:cstheme="minorHAnsi"/>
                <w:b/>
                <w:bCs/>
                <w:lang w:val="en-GB" w:eastAsia="es-ES"/>
              </w:rPr>
              <w:t>×4.6*</w:t>
            </w:r>
          </w:p>
        </w:tc>
      </w:tr>
    </w:tbl>
    <w:p w14:paraId="683935B9" w14:textId="0FC0DDD4" w:rsidR="00813019" w:rsidRPr="00FC22AA" w:rsidRDefault="0005639E" w:rsidP="0068522A">
      <w:pPr>
        <w:pStyle w:val="Prrafodelista"/>
        <w:keepNext/>
        <w:keepLines/>
        <w:spacing w:after="0" w:line="240" w:lineRule="auto"/>
        <w:ind w:left="0"/>
        <w:jc w:val="both"/>
        <w:rPr>
          <w:rFonts w:cstheme="minorHAnsi"/>
          <w:color w:val="000000" w:themeColor="text1"/>
          <w:lang w:val="en-GB"/>
        </w:rPr>
      </w:pPr>
      <w:r w:rsidRPr="00FC22AA">
        <w:rPr>
          <w:rFonts w:cstheme="minorHAnsi"/>
          <w:color w:val="000000" w:themeColor="text1"/>
          <w:sz w:val="18"/>
          <w:szCs w:val="18"/>
          <w:lang w:val="en-GB"/>
        </w:rPr>
        <w:t>*</w:t>
      </w:r>
      <w:r w:rsidR="0068522A" w:rsidRPr="00FC22AA">
        <w:rPr>
          <w:lang w:val="en-GB"/>
        </w:rPr>
        <w:t xml:space="preserve"> </w:t>
      </w:r>
      <w:r w:rsidR="0068522A" w:rsidRPr="00FC22AA">
        <w:rPr>
          <w:rFonts w:cstheme="minorHAnsi"/>
          <w:color w:val="000000" w:themeColor="text1"/>
          <w:sz w:val="18"/>
          <w:szCs w:val="18"/>
          <w:lang w:val="en-GB"/>
        </w:rPr>
        <w:t>Times that the 2025 figure exceeds that of 2024 (in absolute terms).</w:t>
      </w:r>
    </w:p>
    <w:p w14:paraId="5F5F9B6D" w14:textId="77777777" w:rsidR="00B5224D" w:rsidRDefault="00B5224D" w:rsidP="0061524A">
      <w:pPr>
        <w:pStyle w:val="Prrafodelista"/>
        <w:widowControl w:val="0"/>
        <w:spacing w:after="0" w:line="240" w:lineRule="auto"/>
        <w:ind w:left="0"/>
        <w:jc w:val="both"/>
        <w:rPr>
          <w:rFonts w:cstheme="minorHAnsi"/>
          <w:color w:val="000000" w:themeColor="text1"/>
          <w:lang w:val="en-GB"/>
        </w:rPr>
      </w:pPr>
    </w:p>
    <w:p w14:paraId="55B23E1A" w14:textId="77777777" w:rsidR="00EE5F40" w:rsidRPr="00FC22AA" w:rsidRDefault="00EE5F40" w:rsidP="0061524A">
      <w:pPr>
        <w:pStyle w:val="Prrafodelista"/>
        <w:widowControl w:val="0"/>
        <w:spacing w:after="0" w:line="240" w:lineRule="auto"/>
        <w:ind w:left="0"/>
        <w:jc w:val="both"/>
        <w:rPr>
          <w:rFonts w:cstheme="minorHAnsi"/>
          <w:color w:val="000000" w:themeColor="text1"/>
          <w:lang w:val="en-GB"/>
        </w:rPr>
      </w:pPr>
    </w:p>
    <w:p w14:paraId="71394E8F" w14:textId="77777777" w:rsidR="00EA6855" w:rsidRPr="00FC22AA" w:rsidRDefault="00EA6855" w:rsidP="00710744">
      <w:pPr>
        <w:pStyle w:val="Prrafodelista"/>
        <w:widowControl w:val="0"/>
        <w:spacing w:after="0" w:line="240" w:lineRule="auto"/>
        <w:ind w:left="0"/>
        <w:jc w:val="both"/>
        <w:rPr>
          <w:rFonts w:cstheme="minorHAnsi"/>
          <w:b/>
          <w:bCs/>
          <w:color w:val="000000" w:themeColor="text1"/>
          <w:u w:val="single"/>
          <w:lang w:val="en-GB"/>
        </w:rPr>
      </w:pPr>
      <w:r w:rsidRPr="00FC22AA">
        <w:rPr>
          <w:rFonts w:cstheme="minorHAnsi"/>
          <w:b/>
          <w:bCs/>
          <w:color w:val="000000" w:themeColor="text1"/>
          <w:u w:val="single"/>
          <w:lang w:val="en-GB"/>
        </w:rPr>
        <w:t>RECONCILIATION OF ADJUSTED EBITDA</w:t>
      </w:r>
    </w:p>
    <w:p w14:paraId="2BECB130" w14:textId="6C5AC4B5" w:rsidR="00F41C58" w:rsidRPr="00FC22AA" w:rsidRDefault="00F41C58" w:rsidP="00710744">
      <w:pPr>
        <w:pStyle w:val="Prrafodelista"/>
        <w:widowControl w:val="0"/>
        <w:spacing w:after="0" w:line="240" w:lineRule="auto"/>
        <w:ind w:left="0"/>
        <w:jc w:val="both"/>
        <w:rPr>
          <w:color w:val="000000" w:themeColor="text1"/>
          <w:lang w:val="en-GB"/>
        </w:rPr>
      </w:pPr>
      <w:r w:rsidRPr="00FC22AA">
        <w:rPr>
          <w:color w:val="000000" w:themeColor="text1"/>
          <w:lang w:val="en-GB"/>
        </w:rPr>
        <w:fldChar w:fldCharType="begin"/>
      </w:r>
      <w:r w:rsidRPr="00FC22AA">
        <w:rPr>
          <w:color w:val="000000" w:themeColor="text1"/>
          <w:lang w:val="en-GB"/>
        </w:rPr>
        <w:instrText xml:space="preserve"> LINK </w:instrText>
      </w:r>
      <w:r w:rsidR="00944D7A" w:rsidRPr="00FC22AA">
        <w:rPr>
          <w:color w:val="000000" w:themeColor="text1"/>
          <w:lang w:val="en-GB"/>
        </w:rPr>
        <w:instrText xml:space="preserve">Excel.Sheet.12 "C:\\Users\\azabalza\\Documents\\Notas de prensa de resultados\\Datos y Gráficos Resultados 3T2021.xlsx" "EBITDA ajustado y por negocios!F3C2:F9C5" </w:instrText>
      </w:r>
      <w:r w:rsidRPr="00FC22AA">
        <w:rPr>
          <w:color w:val="000000" w:themeColor="text1"/>
          <w:lang w:val="en-GB"/>
        </w:rPr>
        <w:instrText xml:space="preserve">\a \f 4 \h  \* MERGEFORMAT </w:instrText>
      </w:r>
      <w:r w:rsidRPr="00FC22AA">
        <w:rPr>
          <w:color w:val="000000" w:themeColor="text1"/>
          <w:lang w:val="en-GB"/>
        </w:rPr>
        <w:fldChar w:fldCharType="separate"/>
      </w:r>
    </w:p>
    <w:tbl>
      <w:tblPr>
        <w:tblW w:w="8505" w:type="dxa"/>
        <w:tblLayout w:type="fixed"/>
        <w:tblCellMar>
          <w:left w:w="70" w:type="dxa"/>
          <w:right w:w="70" w:type="dxa"/>
        </w:tblCellMar>
        <w:tblLook w:val="04A0" w:firstRow="1" w:lastRow="0" w:firstColumn="1" w:lastColumn="0" w:noHBand="0" w:noVBand="1"/>
      </w:tblPr>
      <w:tblGrid>
        <w:gridCol w:w="5387"/>
        <w:gridCol w:w="1039"/>
        <w:gridCol w:w="1039"/>
        <w:gridCol w:w="1040"/>
      </w:tblGrid>
      <w:tr w:rsidR="0061524A" w:rsidRPr="00FC22AA" w14:paraId="67265E1B" w14:textId="77777777" w:rsidTr="00570770">
        <w:trPr>
          <w:trHeight w:val="20"/>
        </w:trPr>
        <w:tc>
          <w:tcPr>
            <w:tcW w:w="5387" w:type="dxa"/>
            <w:tcBorders>
              <w:left w:val="nil"/>
              <w:bottom w:val="single" w:sz="8" w:space="0" w:color="auto"/>
              <w:right w:val="nil"/>
            </w:tcBorders>
            <w:noWrap/>
            <w:vAlign w:val="center"/>
            <w:hideMark/>
          </w:tcPr>
          <w:p w14:paraId="32564000" w14:textId="3705BCC0" w:rsidR="00F41C58" w:rsidRPr="00FC22AA" w:rsidRDefault="0068522A" w:rsidP="00570770">
            <w:pPr>
              <w:widowControl w:val="0"/>
              <w:spacing w:after="0" w:line="240" w:lineRule="auto"/>
              <w:ind w:left="170" w:hanging="104"/>
              <w:rPr>
                <w:rFonts w:ascii="Calibri" w:eastAsia="Times New Roman" w:hAnsi="Calibri" w:cs="Calibri"/>
                <w:b/>
                <w:bCs/>
                <w:color w:val="000000" w:themeColor="text1"/>
                <w:lang w:val="en-GB" w:eastAsia="es-ES"/>
              </w:rPr>
            </w:pPr>
            <w:bookmarkStart w:id="3" w:name="_Hlk95418001"/>
            <w:r w:rsidRPr="00FC22AA">
              <w:rPr>
                <w:rFonts w:ascii="Calibri" w:eastAsia="Times New Roman" w:hAnsi="Calibri" w:cs="Calibri"/>
                <w:b/>
                <w:bCs/>
                <w:color w:val="000000" w:themeColor="text1"/>
                <w:lang w:val="en-GB" w:eastAsia="es-ES"/>
              </w:rPr>
              <w:t>Thousands of euros</w:t>
            </w:r>
          </w:p>
        </w:tc>
        <w:tc>
          <w:tcPr>
            <w:tcW w:w="1039" w:type="dxa"/>
            <w:tcBorders>
              <w:left w:val="nil"/>
              <w:bottom w:val="single" w:sz="8" w:space="0" w:color="auto"/>
              <w:right w:val="nil"/>
            </w:tcBorders>
            <w:noWrap/>
            <w:vAlign w:val="center"/>
            <w:hideMark/>
          </w:tcPr>
          <w:p w14:paraId="31E2175E" w14:textId="68BB6AA1" w:rsidR="00F41C58" w:rsidRPr="00FC22AA" w:rsidRDefault="00FA7689" w:rsidP="00570770">
            <w:pPr>
              <w:pStyle w:val="Ttulo3"/>
              <w:keepNext w:val="0"/>
              <w:keepLines w:val="0"/>
              <w:widowControl w:val="0"/>
              <w:ind w:left="-104" w:hanging="104"/>
              <w:rPr>
                <w:rFonts w:ascii="Calibri" w:hAnsi="Calibri" w:cs="Calibri"/>
                <w:b w:val="0"/>
                <w:bCs w:val="0"/>
                <w:lang w:val="en-GB"/>
              </w:rPr>
            </w:pPr>
            <w:r w:rsidRPr="00FC22AA">
              <w:rPr>
                <w:rFonts w:ascii="Calibri" w:hAnsi="Calibri" w:cs="Calibri"/>
                <w:lang w:val="en-GB"/>
              </w:rPr>
              <w:t>20</w:t>
            </w:r>
            <w:r w:rsidR="0005639E" w:rsidRPr="00FC22AA">
              <w:rPr>
                <w:rFonts w:ascii="Calibri" w:hAnsi="Calibri" w:cs="Calibri"/>
                <w:lang w:val="en-GB"/>
              </w:rPr>
              <w:t>25</w:t>
            </w:r>
          </w:p>
        </w:tc>
        <w:tc>
          <w:tcPr>
            <w:tcW w:w="1039" w:type="dxa"/>
            <w:tcBorders>
              <w:left w:val="nil"/>
              <w:bottom w:val="single" w:sz="8" w:space="0" w:color="auto"/>
              <w:right w:val="nil"/>
            </w:tcBorders>
            <w:noWrap/>
            <w:vAlign w:val="center"/>
            <w:hideMark/>
          </w:tcPr>
          <w:p w14:paraId="49A7430B" w14:textId="14258F08" w:rsidR="00F41C58" w:rsidRPr="00FC22AA" w:rsidRDefault="00FA7689" w:rsidP="00570770">
            <w:pPr>
              <w:pStyle w:val="Ttulo3"/>
              <w:keepNext w:val="0"/>
              <w:keepLines w:val="0"/>
              <w:widowControl w:val="0"/>
              <w:ind w:left="-104" w:hanging="104"/>
              <w:rPr>
                <w:rFonts w:ascii="Calibri" w:hAnsi="Calibri" w:cs="Calibri"/>
                <w:b w:val="0"/>
                <w:bCs w:val="0"/>
                <w:lang w:val="en-GB"/>
              </w:rPr>
            </w:pPr>
            <w:r w:rsidRPr="00FC22AA">
              <w:rPr>
                <w:rFonts w:ascii="Calibri" w:hAnsi="Calibri" w:cs="Calibri"/>
                <w:lang w:val="en-GB"/>
              </w:rPr>
              <w:t>20</w:t>
            </w:r>
            <w:r w:rsidR="00771449" w:rsidRPr="00FC22AA">
              <w:rPr>
                <w:rFonts w:ascii="Calibri" w:hAnsi="Calibri" w:cs="Calibri"/>
                <w:lang w:val="en-GB"/>
              </w:rPr>
              <w:t>2</w:t>
            </w:r>
            <w:r w:rsidR="00B948A4" w:rsidRPr="00FC22AA">
              <w:rPr>
                <w:rFonts w:ascii="Calibri" w:hAnsi="Calibri" w:cs="Calibri"/>
                <w:lang w:val="en-GB"/>
              </w:rPr>
              <w:t>4</w:t>
            </w:r>
          </w:p>
        </w:tc>
        <w:tc>
          <w:tcPr>
            <w:tcW w:w="1040" w:type="dxa"/>
            <w:tcBorders>
              <w:left w:val="nil"/>
              <w:bottom w:val="single" w:sz="8" w:space="0" w:color="auto"/>
              <w:right w:val="nil"/>
            </w:tcBorders>
            <w:vAlign w:val="center"/>
            <w:hideMark/>
          </w:tcPr>
          <w:p w14:paraId="30C3EB4B" w14:textId="77777777" w:rsidR="00F41C58" w:rsidRPr="00FC22AA" w:rsidRDefault="00F41C58" w:rsidP="00570770">
            <w:pPr>
              <w:widowControl w:val="0"/>
              <w:spacing w:after="0" w:line="240" w:lineRule="auto"/>
              <w:ind w:left="-104" w:hanging="104"/>
              <w:jc w:val="center"/>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w:t>
            </w:r>
          </w:p>
        </w:tc>
      </w:tr>
      <w:tr w:rsidR="0061524A" w:rsidRPr="00FC22AA" w14:paraId="73CFCD4F" w14:textId="77777777" w:rsidTr="00570770">
        <w:trPr>
          <w:trHeight w:val="20"/>
        </w:trPr>
        <w:tc>
          <w:tcPr>
            <w:tcW w:w="5387" w:type="dxa"/>
            <w:tcBorders>
              <w:top w:val="single" w:sz="8" w:space="0" w:color="auto"/>
              <w:left w:val="nil"/>
              <w:right w:val="nil"/>
            </w:tcBorders>
            <w:noWrap/>
            <w:vAlign w:val="center"/>
            <w:hideMark/>
          </w:tcPr>
          <w:p w14:paraId="45F5250C" w14:textId="77777777" w:rsidR="00F41C58" w:rsidRPr="00FC22AA" w:rsidRDefault="00F41C58" w:rsidP="00570770">
            <w:pPr>
              <w:widowControl w:val="0"/>
              <w:spacing w:after="0" w:line="240" w:lineRule="auto"/>
              <w:ind w:left="170" w:hanging="104"/>
              <w:jc w:val="right"/>
              <w:rPr>
                <w:rFonts w:ascii="Calibri" w:eastAsia="Times New Roman" w:hAnsi="Calibri" w:cs="Calibri"/>
                <w:b/>
                <w:bCs/>
                <w:color w:val="000000" w:themeColor="text1"/>
                <w:lang w:val="en-GB" w:eastAsia="es-ES"/>
              </w:rPr>
            </w:pPr>
          </w:p>
        </w:tc>
        <w:tc>
          <w:tcPr>
            <w:tcW w:w="1039" w:type="dxa"/>
            <w:tcBorders>
              <w:top w:val="single" w:sz="8" w:space="0" w:color="auto"/>
              <w:left w:val="nil"/>
              <w:right w:val="nil"/>
            </w:tcBorders>
            <w:noWrap/>
            <w:vAlign w:val="center"/>
            <w:hideMark/>
          </w:tcPr>
          <w:p w14:paraId="689B2522" w14:textId="77777777" w:rsidR="00F41C58" w:rsidRPr="00FC22AA" w:rsidRDefault="00F41C58" w:rsidP="00570770">
            <w:pPr>
              <w:widowControl w:val="0"/>
              <w:spacing w:after="0" w:line="240" w:lineRule="auto"/>
              <w:ind w:left="-104" w:hanging="104"/>
              <w:rPr>
                <w:rFonts w:ascii="Times New Roman" w:eastAsia="Times New Roman" w:hAnsi="Times New Roman" w:cs="Times New Roman"/>
                <w:color w:val="000000" w:themeColor="text1"/>
                <w:lang w:val="en-GB" w:eastAsia="es-ES"/>
              </w:rPr>
            </w:pPr>
          </w:p>
        </w:tc>
        <w:tc>
          <w:tcPr>
            <w:tcW w:w="1039" w:type="dxa"/>
            <w:tcBorders>
              <w:top w:val="single" w:sz="8" w:space="0" w:color="auto"/>
              <w:left w:val="nil"/>
              <w:right w:val="nil"/>
            </w:tcBorders>
            <w:noWrap/>
            <w:vAlign w:val="center"/>
            <w:hideMark/>
          </w:tcPr>
          <w:p w14:paraId="22EC7926" w14:textId="77777777" w:rsidR="00F41C58" w:rsidRPr="00FC22AA" w:rsidRDefault="00F41C58" w:rsidP="00570770">
            <w:pPr>
              <w:widowControl w:val="0"/>
              <w:spacing w:after="0" w:line="240" w:lineRule="auto"/>
              <w:ind w:left="-104" w:hanging="104"/>
              <w:rPr>
                <w:rFonts w:ascii="Times New Roman" w:eastAsia="Times New Roman" w:hAnsi="Times New Roman" w:cs="Times New Roman"/>
                <w:color w:val="000000" w:themeColor="text1"/>
                <w:lang w:val="en-GB" w:eastAsia="es-ES"/>
              </w:rPr>
            </w:pPr>
          </w:p>
        </w:tc>
        <w:tc>
          <w:tcPr>
            <w:tcW w:w="1040" w:type="dxa"/>
            <w:tcBorders>
              <w:top w:val="single" w:sz="8" w:space="0" w:color="auto"/>
              <w:left w:val="nil"/>
              <w:right w:val="nil"/>
            </w:tcBorders>
            <w:noWrap/>
            <w:vAlign w:val="center"/>
            <w:hideMark/>
          </w:tcPr>
          <w:p w14:paraId="64F05A94" w14:textId="77777777" w:rsidR="00F41C58" w:rsidRPr="00FC22AA" w:rsidRDefault="00F41C58" w:rsidP="00570770">
            <w:pPr>
              <w:widowControl w:val="0"/>
              <w:spacing w:after="0" w:line="240" w:lineRule="auto"/>
              <w:ind w:left="-104" w:hanging="104"/>
              <w:rPr>
                <w:rFonts w:ascii="Times New Roman" w:eastAsia="Times New Roman" w:hAnsi="Times New Roman" w:cs="Times New Roman"/>
                <w:color w:val="000000" w:themeColor="text1"/>
                <w:lang w:val="en-GB" w:eastAsia="es-ES"/>
              </w:rPr>
            </w:pPr>
          </w:p>
        </w:tc>
      </w:tr>
      <w:tr w:rsidR="00CA6E25" w:rsidRPr="00FC22AA" w14:paraId="7205EDCE" w14:textId="77777777" w:rsidTr="00570770">
        <w:trPr>
          <w:trHeight w:val="20"/>
        </w:trPr>
        <w:tc>
          <w:tcPr>
            <w:tcW w:w="5387" w:type="dxa"/>
            <w:tcBorders>
              <w:top w:val="nil"/>
              <w:left w:val="nil"/>
              <w:right w:val="nil"/>
            </w:tcBorders>
            <w:noWrap/>
            <w:vAlign w:val="center"/>
          </w:tcPr>
          <w:p w14:paraId="60561619" w14:textId="77777777" w:rsidR="00CA6E25" w:rsidRPr="00FC22AA" w:rsidRDefault="00CA6E25" w:rsidP="00570770">
            <w:pPr>
              <w:widowControl w:val="0"/>
              <w:spacing w:after="0" w:line="240" w:lineRule="auto"/>
              <w:ind w:left="170" w:hanging="104"/>
              <w:rPr>
                <w:rFonts w:ascii="Calibri" w:eastAsia="Times New Roman" w:hAnsi="Calibri" w:cs="Calibri"/>
                <w:b/>
                <w:bCs/>
                <w:color w:val="000000" w:themeColor="text1"/>
                <w:lang w:val="en-GB" w:eastAsia="es-ES"/>
              </w:rPr>
            </w:pPr>
          </w:p>
        </w:tc>
        <w:tc>
          <w:tcPr>
            <w:tcW w:w="1039" w:type="dxa"/>
            <w:tcBorders>
              <w:top w:val="nil"/>
              <w:left w:val="nil"/>
              <w:right w:val="nil"/>
            </w:tcBorders>
            <w:noWrap/>
            <w:vAlign w:val="center"/>
          </w:tcPr>
          <w:p w14:paraId="619A96C5" w14:textId="77777777" w:rsidR="00CA6E25" w:rsidRPr="00FC22AA" w:rsidRDefault="00CA6E25" w:rsidP="00570770">
            <w:pPr>
              <w:widowControl w:val="0"/>
              <w:spacing w:after="0" w:line="240" w:lineRule="auto"/>
              <w:ind w:left="-104" w:right="198" w:hanging="104"/>
              <w:jc w:val="right"/>
              <w:rPr>
                <w:rFonts w:ascii="Calibri" w:eastAsia="Times New Roman" w:hAnsi="Calibri" w:cs="Calibri"/>
                <w:b/>
                <w:bCs/>
                <w:color w:val="000000" w:themeColor="text1"/>
                <w:lang w:val="en-GB" w:eastAsia="es-ES"/>
              </w:rPr>
            </w:pPr>
          </w:p>
        </w:tc>
        <w:tc>
          <w:tcPr>
            <w:tcW w:w="1039" w:type="dxa"/>
            <w:tcBorders>
              <w:top w:val="nil"/>
              <w:left w:val="nil"/>
              <w:right w:val="nil"/>
            </w:tcBorders>
            <w:noWrap/>
            <w:vAlign w:val="center"/>
          </w:tcPr>
          <w:p w14:paraId="0296EDAB" w14:textId="77777777" w:rsidR="00CA6E25" w:rsidRPr="00FC22AA" w:rsidRDefault="00CA6E25" w:rsidP="00570770">
            <w:pPr>
              <w:widowControl w:val="0"/>
              <w:spacing w:after="0" w:line="240" w:lineRule="auto"/>
              <w:ind w:left="-104" w:right="198" w:hanging="104"/>
              <w:jc w:val="right"/>
              <w:rPr>
                <w:rFonts w:ascii="Calibri" w:eastAsia="Times New Roman" w:hAnsi="Calibri" w:cs="Calibri"/>
                <w:b/>
                <w:bCs/>
                <w:color w:val="000000" w:themeColor="text1"/>
                <w:lang w:val="en-GB" w:eastAsia="es-ES"/>
              </w:rPr>
            </w:pPr>
          </w:p>
        </w:tc>
        <w:tc>
          <w:tcPr>
            <w:tcW w:w="1040" w:type="dxa"/>
            <w:tcBorders>
              <w:top w:val="nil"/>
              <w:left w:val="nil"/>
              <w:right w:val="nil"/>
            </w:tcBorders>
            <w:noWrap/>
            <w:vAlign w:val="center"/>
          </w:tcPr>
          <w:p w14:paraId="73287463" w14:textId="77777777" w:rsidR="00CA6E25" w:rsidRPr="00FC22AA" w:rsidRDefault="00CA6E25" w:rsidP="00570770">
            <w:pPr>
              <w:widowControl w:val="0"/>
              <w:spacing w:after="0" w:line="240" w:lineRule="auto"/>
              <w:ind w:left="-104" w:right="284" w:hanging="104"/>
              <w:jc w:val="right"/>
              <w:rPr>
                <w:rFonts w:ascii="Calibri" w:eastAsia="Times New Roman" w:hAnsi="Calibri" w:cs="Calibri"/>
                <w:b/>
                <w:bCs/>
                <w:color w:val="000000" w:themeColor="text1"/>
                <w:lang w:val="en-GB" w:eastAsia="es-ES"/>
              </w:rPr>
            </w:pPr>
          </w:p>
        </w:tc>
      </w:tr>
      <w:tr w:rsidR="0061524A" w:rsidRPr="00FC22AA" w14:paraId="07ADAA1A" w14:textId="77777777" w:rsidTr="00570770">
        <w:trPr>
          <w:trHeight w:val="20"/>
        </w:trPr>
        <w:tc>
          <w:tcPr>
            <w:tcW w:w="5387" w:type="dxa"/>
            <w:tcBorders>
              <w:left w:val="nil"/>
              <w:bottom w:val="single" w:sz="6" w:space="0" w:color="auto"/>
              <w:right w:val="nil"/>
            </w:tcBorders>
            <w:noWrap/>
            <w:vAlign w:val="center"/>
            <w:hideMark/>
          </w:tcPr>
          <w:p w14:paraId="06043EF9" w14:textId="77777777" w:rsidR="00F41C58" w:rsidRPr="00FC22AA" w:rsidRDefault="00F41C58" w:rsidP="00570770">
            <w:pPr>
              <w:widowControl w:val="0"/>
              <w:spacing w:after="0" w:line="240" w:lineRule="auto"/>
              <w:ind w:left="170" w:hanging="104"/>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Ebitda</w:t>
            </w:r>
          </w:p>
        </w:tc>
        <w:tc>
          <w:tcPr>
            <w:tcW w:w="1039" w:type="dxa"/>
            <w:tcBorders>
              <w:left w:val="nil"/>
              <w:bottom w:val="single" w:sz="6" w:space="0" w:color="auto"/>
              <w:right w:val="nil"/>
            </w:tcBorders>
            <w:noWrap/>
            <w:vAlign w:val="center"/>
            <w:hideMark/>
          </w:tcPr>
          <w:p w14:paraId="6BF07FE4" w14:textId="3839E56E" w:rsidR="00F41C58" w:rsidRPr="00FC22AA" w:rsidRDefault="001603ED" w:rsidP="00570770">
            <w:pPr>
              <w:widowControl w:val="0"/>
              <w:spacing w:after="0" w:line="240" w:lineRule="auto"/>
              <w:ind w:right="284"/>
              <w:jc w:val="right"/>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6</w:t>
            </w:r>
            <w:r w:rsidR="0068522A" w:rsidRPr="00FC22AA">
              <w:rPr>
                <w:rFonts w:ascii="Calibri" w:eastAsia="Times New Roman" w:hAnsi="Calibri" w:cs="Calibri"/>
                <w:b/>
                <w:bCs/>
                <w:color w:val="000000" w:themeColor="text1"/>
                <w:lang w:val="en-GB" w:eastAsia="es-ES"/>
              </w:rPr>
              <w:t>,</w:t>
            </w:r>
            <w:r w:rsidRPr="00FC22AA">
              <w:rPr>
                <w:rFonts w:ascii="Calibri" w:eastAsia="Times New Roman" w:hAnsi="Calibri" w:cs="Calibri"/>
                <w:b/>
                <w:bCs/>
                <w:color w:val="000000" w:themeColor="text1"/>
                <w:lang w:val="en-GB" w:eastAsia="es-ES"/>
              </w:rPr>
              <w:t>249</w:t>
            </w:r>
          </w:p>
        </w:tc>
        <w:tc>
          <w:tcPr>
            <w:tcW w:w="1039" w:type="dxa"/>
            <w:tcBorders>
              <w:left w:val="nil"/>
              <w:bottom w:val="single" w:sz="6" w:space="0" w:color="auto"/>
              <w:right w:val="nil"/>
            </w:tcBorders>
            <w:noWrap/>
            <w:vAlign w:val="center"/>
            <w:hideMark/>
          </w:tcPr>
          <w:p w14:paraId="046738D4" w14:textId="453BFDFC" w:rsidR="00F41C58" w:rsidRPr="00FC22AA" w:rsidRDefault="0005639E" w:rsidP="00570770">
            <w:pPr>
              <w:widowControl w:val="0"/>
              <w:spacing w:after="0" w:line="240" w:lineRule="auto"/>
              <w:ind w:right="227"/>
              <w:jc w:val="right"/>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2</w:t>
            </w:r>
            <w:r w:rsidR="003D76E9" w:rsidRPr="00FC22AA">
              <w:rPr>
                <w:rFonts w:ascii="Calibri" w:eastAsia="Times New Roman" w:hAnsi="Calibri" w:cs="Calibri"/>
                <w:b/>
                <w:bCs/>
                <w:color w:val="000000" w:themeColor="text1"/>
                <w:lang w:val="en-GB" w:eastAsia="es-ES"/>
              </w:rPr>
              <w:t>9</w:t>
            </w:r>
            <w:r w:rsidR="0068522A" w:rsidRPr="00FC22AA">
              <w:rPr>
                <w:rFonts w:ascii="Calibri" w:eastAsia="Times New Roman" w:hAnsi="Calibri" w:cs="Calibri"/>
                <w:b/>
                <w:bCs/>
                <w:color w:val="000000" w:themeColor="text1"/>
                <w:lang w:val="en-GB" w:eastAsia="es-ES"/>
              </w:rPr>
              <w:t>,</w:t>
            </w:r>
            <w:r w:rsidR="003D76E9" w:rsidRPr="00FC22AA">
              <w:rPr>
                <w:rFonts w:ascii="Calibri" w:eastAsia="Times New Roman" w:hAnsi="Calibri" w:cs="Calibri"/>
                <w:b/>
                <w:bCs/>
                <w:color w:val="000000" w:themeColor="text1"/>
                <w:lang w:val="en-GB" w:eastAsia="es-ES"/>
              </w:rPr>
              <w:t>376</w:t>
            </w:r>
          </w:p>
        </w:tc>
        <w:tc>
          <w:tcPr>
            <w:tcW w:w="1040" w:type="dxa"/>
            <w:tcBorders>
              <w:left w:val="nil"/>
              <w:bottom w:val="single" w:sz="6" w:space="0" w:color="auto"/>
              <w:right w:val="nil"/>
            </w:tcBorders>
            <w:noWrap/>
            <w:vAlign w:val="center"/>
            <w:hideMark/>
          </w:tcPr>
          <w:p w14:paraId="06FBDF2E" w14:textId="49EEE6CD" w:rsidR="00F41C58" w:rsidRPr="00FC22AA" w:rsidRDefault="00295AAB" w:rsidP="00570770">
            <w:pPr>
              <w:widowControl w:val="0"/>
              <w:spacing w:after="0" w:line="240" w:lineRule="auto"/>
              <w:ind w:right="340"/>
              <w:jc w:val="right"/>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w:t>
            </w:r>
            <w:r w:rsidR="001603ED" w:rsidRPr="00FC22AA">
              <w:rPr>
                <w:rFonts w:ascii="Calibri" w:eastAsia="Times New Roman" w:hAnsi="Calibri" w:cs="Calibri"/>
                <w:b/>
                <w:bCs/>
                <w:color w:val="000000" w:themeColor="text1"/>
                <w:lang w:val="en-GB" w:eastAsia="es-ES"/>
              </w:rPr>
              <w:t>78</w:t>
            </w:r>
            <w:r w:rsidR="0068522A" w:rsidRPr="00FC22AA">
              <w:rPr>
                <w:rFonts w:ascii="Calibri" w:eastAsia="Times New Roman" w:hAnsi="Calibri" w:cs="Calibri"/>
                <w:b/>
                <w:bCs/>
                <w:color w:val="000000" w:themeColor="text1"/>
                <w:lang w:val="en-GB" w:eastAsia="es-ES"/>
              </w:rPr>
              <w:t>.</w:t>
            </w:r>
            <w:r w:rsidR="001603ED" w:rsidRPr="00FC22AA">
              <w:rPr>
                <w:rFonts w:ascii="Calibri" w:eastAsia="Times New Roman" w:hAnsi="Calibri" w:cs="Calibri"/>
                <w:b/>
                <w:bCs/>
                <w:color w:val="000000" w:themeColor="text1"/>
                <w:lang w:val="en-GB" w:eastAsia="es-ES"/>
              </w:rPr>
              <w:t>7</w:t>
            </w:r>
          </w:p>
        </w:tc>
      </w:tr>
      <w:tr w:rsidR="0068522A" w:rsidRPr="00FC22AA" w14:paraId="692CC2B1" w14:textId="77777777" w:rsidTr="00570770">
        <w:trPr>
          <w:trHeight w:val="20"/>
        </w:trPr>
        <w:tc>
          <w:tcPr>
            <w:tcW w:w="5387" w:type="dxa"/>
            <w:tcBorders>
              <w:top w:val="single" w:sz="6" w:space="0" w:color="auto"/>
              <w:left w:val="nil"/>
              <w:bottom w:val="nil"/>
              <w:right w:val="nil"/>
            </w:tcBorders>
            <w:noWrap/>
            <w:vAlign w:val="center"/>
            <w:hideMark/>
          </w:tcPr>
          <w:p w14:paraId="2C635860" w14:textId="3CAED633" w:rsidR="0068522A" w:rsidRPr="00FC22AA" w:rsidRDefault="0068522A" w:rsidP="0068522A">
            <w:pPr>
              <w:widowControl w:val="0"/>
              <w:spacing w:after="0" w:line="240" w:lineRule="auto"/>
              <w:ind w:left="170" w:hanging="104"/>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Atypical income items</w:t>
            </w:r>
          </w:p>
        </w:tc>
        <w:tc>
          <w:tcPr>
            <w:tcW w:w="1039" w:type="dxa"/>
            <w:tcBorders>
              <w:top w:val="single" w:sz="6" w:space="0" w:color="auto"/>
              <w:left w:val="nil"/>
              <w:bottom w:val="nil"/>
              <w:right w:val="nil"/>
            </w:tcBorders>
            <w:noWrap/>
            <w:vAlign w:val="center"/>
            <w:hideMark/>
          </w:tcPr>
          <w:p w14:paraId="7A4225CD" w14:textId="0A59A1CB" w:rsidR="0068522A" w:rsidRPr="00FC22AA" w:rsidRDefault="0068522A" w:rsidP="0068522A">
            <w:pPr>
              <w:widowControl w:val="0"/>
              <w:spacing w:after="0" w:line="240" w:lineRule="auto"/>
              <w:ind w:right="284"/>
              <w:jc w:val="right"/>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-1,058</w:t>
            </w:r>
          </w:p>
        </w:tc>
        <w:tc>
          <w:tcPr>
            <w:tcW w:w="1039" w:type="dxa"/>
            <w:tcBorders>
              <w:top w:val="single" w:sz="6" w:space="0" w:color="auto"/>
              <w:left w:val="nil"/>
              <w:bottom w:val="nil"/>
              <w:right w:val="nil"/>
            </w:tcBorders>
            <w:noWrap/>
            <w:vAlign w:val="center"/>
            <w:hideMark/>
          </w:tcPr>
          <w:p w14:paraId="56B11BE3" w14:textId="6698ADB0" w:rsidR="0068522A" w:rsidRPr="00FC22AA" w:rsidRDefault="0068522A" w:rsidP="0068522A">
            <w:pPr>
              <w:widowControl w:val="0"/>
              <w:spacing w:after="0" w:line="240" w:lineRule="auto"/>
              <w:ind w:right="227"/>
              <w:jc w:val="right"/>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-5,378</w:t>
            </w:r>
          </w:p>
        </w:tc>
        <w:tc>
          <w:tcPr>
            <w:tcW w:w="1040" w:type="dxa"/>
            <w:tcBorders>
              <w:top w:val="single" w:sz="6" w:space="0" w:color="auto"/>
              <w:left w:val="nil"/>
              <w:bottom w:val="nil"/>
              <w:right w:val="nil"/>
            </w:tcBorders>
            <w:noWrap/>
            <w:vAlign w:val="center"/>
            <w:hideMark/>
          </w:tcPr>
          <w:p w14:paraId="6387BB63" w14:textId="7B35497C" w:rsidR="0068522A" w:rsidRPr="00FC22AA" w:rsidRDefault="0068522A" w:rsidP="0068522A">
            <w:pPr>
              <w:widowControl w:val="0"/>
              <w:spacing w:after="0" w:line="240" w:lineRule="auto"/>
              <w:ind w:right="340"/>
              <w:jc w:val="right"/>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-80.3</w:t>
            </w:r>
          </w:p>
        </w:tc>
      </w:tr>
      <w:tr w:rsidR="0068522A" w:rsidRPr="00FC22AA" w14:paraId="35A5720D" w14:textId="77777777" w:rsidTr="00570770">
        <w:trPr>
          <w:trHeight w:val="20"/>
        </w:trPr>
        <w:tc>
          <w:tcPr>
            <w:tcW w:w="5387" w:type="dxa"/>
            <w:tcBorders>
              <w:top w:val="nil"/>
              <w:left w:val="nil"/>
              <w:bottom w:val="single" w:sz="8" w:space="0" w:color="auto"/>
              <w:right w:val="nil"/>
            </w:tcBorders>
            <w:noWrap/>
            <w:vAlign w:val="center"/>
            <w:hideMark/>
          </w:tcPr>
          <w:p w14:paraId="7535F88F" w14:textId="5FA180E9" w:rsidR="0068522A" w:rsidRPr="00FC22AA" w:rsidRDefault="0068522A" w:rsidP="0068522A">
            <w:pPr>
              <w:widowControl w:val="0"/>
              <w:spacing w:after="0" w:line="240" w:lineRule="auto"/>
              <w:ind w:left="170" w:hanging="104"/>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Atypical items of expenditure</w:t>
            </w:r>
          </w:p>
        </w:tc>
        <w:tc>
          <w:tcPr>
            <w:tcW w:w="1039" w:type="dxa"/>
            <w:tcBorders>
              <w:top w:val="nil"/>
              <w:left w:val="nil"/>
              <w:bottom w:val="single" w:sz="8" w:space="0" w:color="auto"/>
              <w:right w:val="nil"/>
            </w:tcBorders>
            <w:noWrap/>
            <w:vAlign w:val="center"/>
            <w:hideMark/>
          </w:tcPr>
          <w:p w14:paraId="328D743F" w14:textId="49292450" w:rsidR="0068522A" w:rsidRPr="00FC22AA" w:rsidRDefault="0068522A" w:rsidP="0068522A">
            <w:pPr>
              <w:widowControl w:val="0"/>
              <w:spacing w:after="0" w:line="240" w:lineRule="auto"/>
              <w:ind w:right="284"/>
              <w:jc w:val="right"/>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2,612</w:t>
            </w:r>
          </w:p>
        </w:tc>
        <w:tc>
          <w:tcPr>
            <w:tcW w:w="1039" w:type="dxa"/>
            <w:tcBorders>
              <w:top w:val="nil"/>
              <w:left w:val="nil"/>
              <w:bottom w:val="single" w:sz="8" w:space="0" w:color="auto"/>
              <w:right w:val="nil"/>
            </w:tcBorders>
            <w:noWrap/>
            <w:vAlign w:val="center"/>
            <w:hideMark/>
          </w:tcPr>
          <w:p w14:paraId="77B156BF" w14:textId="290AEDD2" w:rsidR="0068522A" w:rsidRPr="00FC22AA" w:rsidRDefault="0068522A" w:rsidP="0068522A">
            <w:pPr>
              <w:widowControl w:val="0"/>
              <w:spacing w:after="0" w:line="240" w:lineRule="auto"/>
              <w:ind w:right="227"/>
              <w:jc w:val="right"/>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4,628</w:t>
            </w:r>
          </w:p>
        </w:tc>
        <w:tc>
          <w:tcPr>
            <w:tcW w:w="1040" w:type="dxa"/>
            <w:tcBorders>
              <w:top w:val="nil"/>
              <w:left w:val="nil"/>
              <w:bottom w:val="single" w:sz="8" w:space="0" w:color="auto"/>
              <w:right w:val="nil"/>
            </w:tcBorders>
            <w:noWrap/>
            <w:vAlign w:val="center"/>
            <w:hideMark/>
          </w:tcPr>
          <w:p w14:paraId="6959D0A0" w14:textId="30B95760" w:rsidR="0068522A" w:rsidRPr="00FC22AA" w:rsidRDefault="0068522A" w:rsidP="0068522A">
            <w:pPr>
              <w:widowControl w:val="0"/>
              <w:spacing w:after="0" w:line="240" w:lineRule="auto"/>
              <w:ind w:right="340"/>
              <w:jc w:val="right"/>
              <w:rPr>
                <w:rFonts w:ascii="Calibri" w:eastAsia="Times New Roman" w:hAnsi="Calibri" w:cs="Calibri"/>
                <w:color w:val="000000" w:themeColor="text1"/>
                <w:lang w:val="en-GB" w:eastAsia="es-ES"/>
              </w:rPr>
            </w:pPr>
            <w:r w:rsidRPr="00FC22AA">
              <w:rPr>
                <w:rFonts w:ascii="Calibri" w:eastAsia="Times New Roman" w:hAnsi="Calibri" w:cs="Calibri"/>
                <w:color w:val="000000" w:themeColor="text1"/>
                <w:lang w:val="en-GB" w:eastAsia="es-ES"/>
              </w:rPr>
              <w:t>-43.6</w:t>
            </w:r>
          </w:p>
        </w:tc>
      </w:tr>
      <w:tr w:rsidR="0068522A" w:rsidRPr="00FC22AA" w14:paraId="3C4E0B5B" w14:textId="77777777" w:rsidTr="00570770">
        <w:trPr>
          <w:trHeight w:val="20"/>
        </w:trPr>
        <w:tc>
          <w:tcPr>
            <w:tcW w:w="5387" w:type="dxa"/>
            <w:tcBorders>
              <w:top w:val="single" w:sz="8" w:space="0" w:color="auto"/>
              <w:left w:val="nil"/>
              <w:bottom w:val="single" w:sz="8" w:space="0" w:color="auto"/>
              <w:right w:val="nil"/>
            </w:tcBorders>
            <w:noWrap/>
            <w:vAlign w:val="center"/>
            <w:hideMark/>
          </w:tcPr>
          <w:p w14:paraId="70C57859" w14:textId="1DAC0A7F" w:rsidR="0068522A" w:rsidRPr="00FC22AA" w:rsidRDefault="0068522A" w:rsidP="0068522A">
            <w:pPr>
              <w:widowControl w:val="0"/>
              <w:spacing w:after="0" w:line="240" w:lineRule="auto"/>
              <w:ind w:left="170" w:hanging="104"/>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Adjusted ebitda</w:t>
            </w:r>
          </w:p>
        </w:tc>
        <w:tc>
          <w:tcPr>
            <w:tcW w:w="1039" w:type="dxa"/>
            <w:tcBorders>
              <w:top w:val="single" w:sz="8" w:space="0" w:color="auto"/>
              <w:left w:val="nil"/>
              <w:bottom w:val="single" w:sz="8" w:space="0" w:color="auto"/>
              <w:right w:val="nil"/>
            </w:tcBorders>
            <w:noWrap/>
            <w:vAlign w:val="center"/>
            <w:hideMark/>
          </w:tcPr>
          <w:p w14:paraId="62A6E0F8" w14:textId="50F424EA" w:rsidR="0068522A" w:rsidRPr="00FC22AA" w:rsidRDefault="0068522A" w:rsidP="0068522A">
            <w:pPr>
              <w:widowControl w:val="0"/>
              <w:spacing w:after="0" w:line="240" w:lineRule="auto"/>
              <w:ind w:right="284"/>
              <w:jc w:val="right"/>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7,803</w:t>
            </w:r>
          </w:p>
        </w:tc>
        <w:tc>
          <w:tcPr>
            <w:tcW w:w="1039" w:type="dxa"/>
            <w:tcBorders>
              <w:top w:val="single" w:sz="8" w:space="0" w:color="auto"/>
              <w:left w:val="nil"/>
              <w:bottom w:val="single" w:sz="8" w:space="0" w:color="auto"/>
              <w:right w:val="nil"/>
            </w:tcBorders>
            <w:noWrap/>
            <w:vAlign w:val="center"/>
            <w:hideMark/>
          </w:tcPr>
          <w:p w14:paraId="37118700" w14:textId="2A357610" w:rsidR="0068522A" w:rsidRPr="00FC22AA" w:rsidRDefault="0068522A" w:rsidP="0068522A">
            <w:pPr>
              <w:widowControl w:val="0"/>
              <w:spacing w:after="0" w:line="240" w:lineRule="auto"/>
              <w:ind w:right="227"/>
              <w:jc w:val="right"/>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28,626</w:t>
            </w:r>
          </w:p>
        </w:tc>
        <w:tc>
          <w:tcPr>
            <w:tcW w:w="1040" w:type="dxa"/>
            <w:tcBorders>
              <w:top w:val="single" w:sz="8" w:space="0" w:color="auto"/>
              <w:left w:val="nil"/>
              <w:bottom w:val="single" w:sz="8" w:space="0" w:color="auto"/>
              <w:right w:val="nil"/>
            </w:tcBorders>
            <w:noWrap/>
            <w:vAlign w:val="center"/>
            <w:hideMark/>
          </w:tcPr>
          <w:p w14:paraId="3674DCF9" w14:textId="7FA3EE6A" w:rsidR="0068522A" w:rsidRPr="00FC22AA" w:rsidRDefault="0068522A" w:rsidP="0068522A">
            <w:pPr>
              <w:widowControl w:val="0"/>
              <w:spacing w:after="0" w:line="240" w:lineRule="auto"/>
              <w:ind w:right="340"/>
              <w:jc w:val="right"/>
              <w:rPr>
                <w:rFonts w:ascii="Calibri" w:eastAsia="Times New Roman" w:hAnsi="Calibri" w:cs="Calibri"/>
                <w:b/>
                <w:bCs/>
                <w:color w:val="000000" w:themeColor="text1"/>
                <w:lang w:val="en-GB" w:eastAsia="es-ES"/>
              </w:rPr>
            </w:pPr>
            <w:r w:rsidRPr="00FC22AA">
              <w:rPr>
                <w:rFonts w:ascii="Calibri" w:eastAsia="Times New Roman" w:hAnsi="Calibri" w:cs="Calibri"/>
                <w:b/>
                <w:bCs/>
                <w:color w:val="000000" w:themeColor="text1"/>
                <w:lang w:val="en-GB" w:eastAsia="es-ES"/>
              </w:rPr>
              <w:t>-72.7</w:t>
            </w:r>
          </w:p>
        </w:tc>
      </w:tr>
      <w:bookmarkEnd w:id="3"/>
    </w:tbl>
    <w:p w14:paraId="22B453AD" w14:textId="25789F16" w:rsidR="00771449" w:rsidRPr="00FC22AA" w:rsidRDefault="00F41C58" w:rsidP="00084164">
      <w:pPr>
        <w:pStyle w:val="Prrafodelista"/>
        <w:keepNext/>
        <w:keepLines/>
        <w:spacing w:after="0" w:line="240" w:lineRule="auto"/>
        <w:ind w:left="0"/>
        <w:jc w:val="both"/>
        <w:rPr>
          <w:rFonts w:cstheme="minorHAnsi"/>
          <w:color w:val="000000" w:themeColor="text1"/>
          <w:lang w:val="en-GB"/>
        </w:rPr>
      </w:pPr>
      <w:r w:rsidRPr="00FC22AA">
        <w:rPr>
          <w:rFonts w:cstheme="minorHAnsi"/>
          <w:color w:val="000000" w:themeColor="text1"/>
          <w:lang w:val="en-GB"/>
        </w:rPr>
        <w:fldChar w:fldCharType="end"/>
      </w:r>
    </w:p>
    <w:p w14:paraId="596A71FD" w14:textId="019DC2F4" w:rsidR="00182AF5" w:rsidRPr="00FC22AA" w:rsidRDefault="007F7646" w:rsidP="00684D1E">
      <w:pPr>
        <w:pStyle w:val="Textoindependiente"/>
        <w:keepNext/>
        <w:keepLines/>
        <w:rPr>
          <w:b/>
          <w:bCs/>
          <w:lang w:val="en-GB"/>
        </w:rPr>
      </w:pPr>
      <w:r w:rsidRPr="00FC22AA">
        <w:rPr>
          <w:b/>
          <w:bCs/>
          <w:lang w:val="en-GB"/>
        </w:rPr>
        <w:t>Balance sheet</w:t>
      </w:r>
    </w:p>
    <w:p w14:paraId="48CCE38F" w14:textId="77777777" w:rsidR="007F7646" w:rsidRPr="00FC22AA" w:rsidRDefault="007F7646" w:rsidP="00684D1E">
      <w:pPr>
        <w:pStyle w:val="Textoindependiente"/>
        <w:keepNext/>
        <w:keepLines/>
        <w:rPr>
          <w:lang w:val="en-GB"/>
        </w:rPr>
      </w:pPr>
    </w:p>
    <w:p w14:paraId="2F50CD64" w14:textId="1882F6FD" w:rsidR="00EC5BF0" w:rsidRPr="00FC22AA" w:rsidRDefault="00EC5BF0" w:rsidP="007F7646">
      <w:pPr>
        <w:widowControl w:val="0"/>
        <w:autoSpaceDE w:val="0"/>
        <w:autoSpaceDN w:val="0"/>
        <w:spacing w:after="0" w:line="240" w:lineRule="auto"/>
        <w:jc w:val="both"/>
        <w:rPr>
          <w:color w:val="000000" w:themeColor="text1"/>
          <w:lang w:val="en-GB"/>
        </w:rPr>
      </w:pPr>
      <w:r w:rsidRPr="00FC22AA">
        <w:rPr>
          <w:color w:val="000000" w:themeColor="text1"/>
          <w:lang w:val="en-GB"/>
        </w:rPr>
        <w:t>Regarding the 2025 year</w:t>
      </w:r>
      <w:r w:rsidRPr="00FC22AA">
        <w:rPr>
          <w:rFonts w:ascii="Cambria Math" w:hAnsi="Cambria Math" w:cs="Cambria Math"/>
          <w:color w:val="000000" w:themeColor="text1"/>
          <w:lang w:val="en-GB"/>
        </w:rPr>
        <w:t>‑</w:t>
      </w:r>
      <w:r w:rsidRPr="00FC22AA">
        <w:rPr>
          <w:color w:val="000000" w:themeColor="text1"/>
          <w:lang w:val="en-GB"/>
        </w:rPr>
        <w:t xml:space="preserve">end balance sheet compared with 2024, the following points should be highlighted: </w:t>
      </w:r>
    </w:p>
    <w:p w14:paraId="52D310EC" w14:textId="77777777" w:rsidR="00EC5BF0" w:rsidRPr="00FC22AA" w:rsidRDefault="00EC5BF0" w:rsidP="007F7646">
      <w:pPr>
        <w:widowControl w:val="0"/>
        <w:autoSpaceDE w:val="0"/>
        <w:autoSpaceDN w:val="0"/>
        <w:spacing w:after="0" w:line="240" w:lineRule="auto"/>
        <w:jc w:val="both"/>
        <w:rPr>
          <w:color w:val="000000" w:themeColor="text1"/>
          <w:lang w:val="en-GB"/>
        </w:rPr>
      </w:pPr>
    </w:p>
    <w:p w14:paraId="03116928" w14:textId="1481BF6E" w:rsidR="007F7646" w:rsidRPr="00FC22AA" w:rsidRDefault="00277819" w:rsidP="007F7646">
      <w:pPr>
        <w:widowControl w:val="0"/>
        <w:autoSpaceDE w:val="0"/>
        <w:autoSpaceDN w:val="0"/>
        <w:spacing w:after="0" w:line="240" w:lineRule="auto"/>
        <w:jc w:val="both"/>
        <w:rPr>
          <w:color w:val="000000" w:themeColor="text1"/>
          <w:lang w:val="en-GB"/>
        </w:rPr>
      </w:pPr>
      <w:r w:rsidRPr="00FC22AA">
        <w:rPr>
          <w:color w:val="000000" w:themeColor="text1"/>
          <w:lang w:val="en-GB"/>
        </w:rPr>
        <w:t>Non</w:t>
      </w:r>
      <w:r w:rsidRPr="00FC22AA">
        <w:rPr>
          <w:rFonts w:ascii="Cambria Math" w:hAnsi="Cambria Math" w:cs="Cambria Math"/>
          <w:color w:val="000000" w:themeColor="text1"/>
          <w:lang w:val="en-GB"/>
        </w:rPr>
        <w:t>‑</w:t>
      </w:r>
      <w:r w:rsidRPr="00FC22AA">
        <w:rPr>
          <w:color w:val="000000" w:themeColor="text1"/>
          <w:lang w:val="en-GB"/>
        </w:rPr>
        <w:t>current assets decreased by EUR 2.6 million, mainly due to the following: on the negative side, the reduction of the deferred tax asset by EUR 13.40 million; and on the positive side, the increase in property, plant and equipment, intangible assets and investment property by EUR 10.19 million, as additions to fixed assets during the year exceeded depreciation charges</w:t>
      </w:r>
      <w:r w:rsidR="007F7646" w:rsidRPr="00FC22AA">
        <w:rPr>
          <w:color w:val="000000" w:themeColor="text1"/>
          <w:lang w:val="en-GB"/>
        </w:rPr>
        <w:t>.</w:t>
      </w:r>
    </w:p>
    <w:p w14:paraId="142C3C08" w14:textId="77777777" w:rsidR="007F7646" w:rsidRPr="00FC22AA" w:rsidRDefault="007F7646" w:rsidP="007F7646">
      <w:pPr>
        <w:widowControl w:val="0"/>
        <w:autoSpaceDE w:val="0"/>
        <w:autoSpaceDN w:val="0"/>
        <w:spacing w:after="0" w:line="240" w:lineRule="auto"/>
        <w:jc w:val="both"/>
        <w:rPr>
          <w:color w:val="000000" w:themeColor="text1"/>
          <w:lang w:val="en-GB"/>
        </w:rPr>
      </w:pPr>
    </w:p>
    <w:p w14:paraId="1FB9BAE2" w14:textId="49B957EB" w:rsidR="00F3196A" w:rsidRPr="00FC22AA" w:rsidRDefault="007F7646" w:rsidP="007F7646">
      <w:pPr>
        <w:widowControl w:val="0"/>
        <w:autoSpaceDE w:val="0"/>
        <w:autoSpaceDN w:val="0"/>
        <w:spacing w:after="0" w:line="240" w:lineRule="auto"/>
        <w:jc w:val="both"/>
        <w:rPr>
          <w:color w:val="000000" w:themeColor="text1"/>
          <w:lang w:val="en-GB"/>
        </w:rPr>
      </w:pPr>
      <w:r w:rsidRPr="00FC22AA">
        <w:rPr>
          <w:color w:val="000000" w:themeColor="text1"/>
          <w:lang w:val="en-GB"/>
        </w:rPr>
        <w:t xml:space="preserve">Working capital decreased by EUR </w:t>
      </w:r>
      <w:r w:rsidR="009F3BA8" w:rsidRPr="00FC22AA">
        <w:rPr>
          <w:color w:val="000000" w:themeColor="text1"/>
          <w:lang w:val="en-GB"/>
        </w:rPr>
        <w:t>61</w:t>
      </w:r>
      <w:r w:rsidRPr="00FC22AA">
        <w:rPr>
          <w:color w:val="000000" w:themeColor="text1"/>
          <w:lang w:val="en-GB"/>
        </w:rPr>
        <w:t>.</w:t>
      </w:r>
      <w:r w:rsidR="00E160E6" w:rsidRPr="00FC22AA">
        <w:rPr>
          <w:color w:val="000000" w:themeColor="text1"/>
          <w:lang w:val="en-GB"/>
        </w:rPr>
        <w:t>81</w:t>
      </w:r>
      <w:r w:rsidRPr="00FC22AA">
        <w:rPr>
          <w:color w:val="000000" w:themeColor="text1"/>
          <w:lang w:val="en-GB"/>
        </w:rPr>
        <w:t xml:space="preserve"> million </w:t>
      </w:r>
      <w:proofErr w:type="gramStart"/>
      <w:r w:rsidRPr="00FC22AA">
        <w:rPr>
          <w:color w:val="000000" w:themeColor="text1"/>
          <w:lang w:val="en-GB"/>
        </w:rPr>
        <w:t>as a result of</w:t>
      </w:r>
      <w:proofErr w:type="gramEnd"/>
      <w:r w:rsidRPr="00FC22AA">
        <w:rPr>
          <w:color w:val="000000" w:themeColor="text1"/>
          <w:lang w:val="en-GB"/>
        </w:rPr>
        <w:t xml:space="preserve"> a EUR 59.21 million decrease in current assets and EUR </w:t>
      </w:r>
      <w:r w:rsidR="00E33251" w:rsidRPr="00FC22AA">
        <w:rPr>
          <w:color w:val="000000" w:themeColor="text1"/>
          <w:lang w:val="en-GB"/>
        </w:rPr>
        <w:t>2</w:t>
      </w:r>
      <w:r w:rsidRPr="00FC22AA">
        <w:rPr>
          <w:color w:val="000000" w:themeColor="text1"/>
          <w:lang w:val="en-GB"/>
        </w:rPr>
        <w:t>.</w:t>
      </w:r>
      <w:r w:rsidR="00E33251" w:rsidRPr="00FC22AA">
        <w:rPr>
          <w:color w:val="000000" w:themeColor="text1"/>
          <w:lang w:val="en-GB"/>
        </w:rPr>
        <w:t>60</w:t>
      </w:r>
      <w:r w:rsidRPr="00FC22AA">
        <w:rPr>
          <w:color w:val="000000" w:themeColor="text1"/>
          <w:lang w:val="en-GB"/>
        </w:rPr>
        <w:t xml:space="preserve"> million </w:t>
      </w:r>
      <w:r w:rsidR="00D11E59" w:rsidRPr="00FC22AA">
        <w:rPr>
          <w:color w:val="000000" w:themeColor="text1"/>
          <w:lang w:val="en-GB"/>
        </w:rPr>
        <w:t>increase</w:t>
      </w:r>
      <w:r w:rsidRPr="00FC22AA">
        <w:rPr>
          <w:color w:val="000000" w:themeColor="text1"/>
          <w:lang w:val="en-GB"/>
        </w:rPr>
        <w:t xml:space="preserve"> in current liabilities. Current assets fell mainly due to: (i) the reduction in inventories (EUR 13.22 million); (ii) the collection of the receivable from the tax authorities relating to undue payments arising from the unconstitutionality of certain provisions of Royal Decree 3/2016 (EUR 19.80 million); and (iii) the decrease in trade receivables (EUR 19.63 million). </w:t>
      </w:r>
      <w:r w:rsidR="00F3196A" w:rsidRPr="00FC22AA">
        <w:rPr>
          <w:color w:val="000000" w:themeColor="text1"/>
          <w:lang w:val="en-GB"/>
        </w:rPr>
        <w:t>Current liabilities increased mainly due to the rise in accounts payable related to fixed</w:t>
      </w:r>
      <w:r w:rsidR="00F3196A" w:rsidRPr="00FC22AA">
        <w:rPr>
          <w:rFonts w:ascii="Cambria Math" w:hAnsi="Cambria Math" w:cs="Cambria Math"/>
          <w:color w:val="000000" w:themeColor="text1"/>
          <w:lang w:val="en-GB"/>
        </w:rPr>
        <w:t>‑</w:t>
      </w:r>
      <w:r w:rsidR="00F3196A" w:rsidRPr="00FC22AA">
        <w:rPr>
          <w:color w:val="000000" w:themeColor="text1"/>
          <w:lang w:val="en-GB"/>
        </w:rPr>
        <w:t>asset suppliers</w:t>
      </w:r>
    </w:p>
    <w:p w14:paraId="41DA70B5" w14:textId="77777777" w:rsidR="007F7646" w:rsidRPr="00FC22AA" w:rsidRDefault="007F7646" w:rsidP="007F7646">
      <w:pPr>
        <w:widowControl w:val="0"/>
        <w:autoSpaceDE w:val="0"/>
        <w:autoSpaceDN w:val="0"/>
        <w:spacing w:after="0" w:line="240" w:lineRule="auto"/>
        <w:jc w:val="both"/>
        <w:rPr>
          <w:color w:val="000000" w:themeColor="text1"/>
          <w:lang w:val="en-GB"/>
        </w:rPr>
      </w:pPr>
    </w:p>
    <w:p w14:paraId="52239183" w14:textId="0007AF3D" w:rsidR="007F7646" w:rsidRPr="00FC22AA" w:rsidRDefault="007F7646" w:rsidP="007F7646">
      <w:pPr>
        <w:widowControl w:val="0"/>
        <w:autoSpaceDE w:val="0"/>
        <w:autoSpaceDN w:val="0"/>
        <w:spacing w:after="0" w:line="240" w:lineRule="auto"/>
        <w:jc w:val="both"/>
        <w:rPr>
          <w:color w:val="000000" w:themeColor="text1"/>
          <w:lang w:val="en-GB"/>
        </w:rPr>
      </w:pPr>
      <w:r w:rsidRPr="00FC22AA">
        <w:rPr>
          <w:color w:val="000000" w:themeColor="text1"/>
          <w:lang w:val="en-GB"/>
        </w:rPr>
        <w:t>Equity decreased by EUR 53.91 million, the net result of deducting the loss for the period (EUR 53.58 million) and the attendance premium for the shareholders’ meeting (EUR 0.33 million).</w:t>
      </w:r>
    </w:p>
    <w:p w14:paraId="6DF12CA2" w14:textId="77777777" w:rsidR="007F7646" w:rsidRPr="00FC22AA" w:rsidRDefault="007F7646" w:rsidP="007F7646">
      <w:pPr>
        <w:widowControl w:val="0"/>
        <w:autoSpaceDE w:val="0"/>
        <w:autoSpaceDN w:val="0"/>
        <w:spacing w:after="0" w:line="240" w:lineRule="auto"/>
        <w:jc w:val="both"/>
        <w:rPr>
          <w:color w:val="000000" w:themeColor="text1"/>
          <w:lang w:val="en-GB"/>
        </w:rPr>
      </w:pPr>
    </w:p>
    <w:p w14:paraId="399229C7" w14:textId="74229669" w:rsidR="007F7646" w:rsidRPr="00FC22AA" w:rsidRDefault="007F7646" w:rsidP="007F7646">
      <w:pPr>
        <w:widowControl w:val="0"/>
        <w:autoSpaceDE w:val="0"/>
        <w:autoSpaceDN w:val="0"/>
        <w:spacing w:after="0" w:line="240" w:lineRule="auto"/>
        <w:jc w:val="both"/>
        <w:rPr>
          <w:color w:val="000000" w:themeColor="text1"/>
          <w:lang w:val="en-GB"/>
        </w:rPr>
      </w:pPr>
      <w:r w:rsidRPr="00FC22AA">
        <w:rPr>
          <w:color w:val="000000" w:themeColor="text1"/>
          <w:lang w:val="en-GB"/>
        </w:rPr>
        <w:t>Provisions and other liabilities decreased by EUR 1.92 million, mainly due to payments associated with the dismantling of facilities and various environmental remediations.</w:t>
      </w:r>
    </w:p>
    <w:p w14:paraId="215B58F1" w14:textId="77777777" w:rsidR="00182AF5" w:rsidRPr="00FC22AA" w:rsidRDefault="00182AF5" w:rsidP="004C3BD3">
      <w:pPr>
        <w:widowControl w:val="0"/>
        <w:autoSpaceDE w:val="0"/>
        <w:autoSpaceDN w:val="0"/>
        <w:spacing w:after="0" w:line="240" w:lineRule="auto"/>
        <w:rPr>
          <w:b/>
          <w:bCs/>
          <w:u w:val="single"/>
          <w:lang w:val="en-GB"/>
        </w:rPr>
      </w:pPr>
    </w:p>
    <w:p w14:paraId="0C81D225" w14:textId="2B522172" w:rsidR="00436EA2" w:rsidRPr="00FC22AA" w:rsidRDefault="007F7646" w:rsidP="004C3BD3">
      <w:pPr>
        <w:widowControl w:val="0"/>
        <w:autoSpaceDE w:val="0"/>
        <w:autoSpaceDN w:val="0"/>
        <w:spacing w:after="0" w:line="240" w:lineRule="auto"/>
        <w:rPr>
          <w:b/>
          <w:bCs/>
          <w:u w:val="single"/>
          <w:lang w:val="en-GB"/>
        </w:rPr>
      </w:pPr>
      <w:r w:rsidRPr="00FC22AA">
        <w:rPr>
          <w:b/>
          <w:bCs/>
          <w:u w:val="single"/>
          <w:lang w:val="en-GB"/>
        </w:rPr>
        <w:t>ECONOMIC ANALYSIS OF THE BALANCE SHEET</w:t>
      </w:r>
    </w:p>
    <w:p w14:paraId="0A39097A" w14:textId="77777777" w:rsidR="007F7646" w:rsidRPr="00FC22AA" w:rsidRDefault="007F7646" w:rsidP="004C3BD3">
      <w:pPr>
        <w:widowControl w:val="0"/>
        <w:autoSpaceDE w:val="0"/>
        <w:autoSpaceDN w:val="0"/>
        <w:spacing w:after="0" w:line="240" w:lineRule="auto"/>
        <w:rPr>
          <w:b/>
          <w:bCs/>
          <w:u w:val="single"/>
          <w:lang w:val="en-GB"/>
        </w:rPr>
      </w:pPr>
    </w:p>
    <w:tbl>
      <w:tblPr>
        <w:tblW w:w="8514" w:type="dxa"/>
        <w:tblCellMar>
          <w:left w:w="70" w:type="dxa"/>
          <w:right w:w="70" w:type="dxa"/>
        </w:tblCellMar>
        <w:tblLook w:val="04A0" w:firstRow="1" w:lastRow="0" w:firstColumn="1" w:lastColumn="0" w:noHBand="0" w:noVBand="1"/>
      </w:tblPr>
      <w:tblGrid>
        <w:gridCol w:w="194"/>
        <w:gridCol w:w="4000"/>
        <w:gridCol w:w="1080"/>
        <w:gridCol w:w="1080"/>
        <w:gridCol w:w="1080"/>
        <w:gridCol w:w="1080"/>
      </w:tblGrid>
      <w:tr w:rsidR="00436EA2" w:rsidRPr="00FC22AA" w14:paraId="5B9F92DC" w14:textId="77777777" w:rsidTr="007F622A">
        <w:trPr>
          <w:trHeight w:val="57"/>
        </w:trPr>
        <w:tc>
          <w:tcPr>
            <w:tcW w:w="4194" w:type="dxa"/>
            <w:gridSpan w:val="2"/>
            <w:tcBorders>
              <w:left w:val="nil"/>
              <w:bottom w:val="single" w:sz="8" w:space="0" w:color="auto"/>
              <w:right w:val="nil"/>
            </w:tcBorders>
            <w:noWrap/>
            <w:vAlign w:val="bottom"/>
            <w:hideMark/>
          </w:tcPr>
          <w:p w14:paraId="4BA81F2E" w14:textId="6F6FD0D9" w:rsidR="00436EA2" w:rsidRPr="00FC22AA" w:rsidRDefault="007F7646" w:rsidP="007F622A">
            <w:pPr>
              <w:widowControl w:val="0"/>
              <w:spacing w:after="0" w:line="240" w:lineRule="auto"/>
              <w:rPr>
                <w:rFonts w:ascii="Calibri" w:eastAsia="Times New Roman" w:hAnsi="Calibri" w:cs="Calibri"/>
                <w:b/>
                <w:bCs/>
                <w:lang w:val="en-GB" w:eastAsia="es-ES"/>
              </w:rPr>
            </w:pPr>
            <w:bookmarkStart w:id="4" w:name="_Hlk211621913"/>
            <w:r w:rsidRPr="00FC22AA">
              <w:rPr>
                <w:rFonts w:ascii="Calibri" w:eastAsia="Times New Roman" w:hAnsi="Calibri" w:cs="Calibri"/>
                <w:b/>
                <w:bCs/>
                <w:lang w:val="en-GB" w:eastAsia="es-ES"/>
              </w:rPr>
              <w:t>Thousands of euros</w:t>
            </w:r>
          </w:p>
        </w:tc>
        <w:tc>
          <w:tcPr>
            <w:tcW w:w="1080" w:type="dxa"/>
            <w:tcBorders>
              <w:left w:val="nil"/>
              <w:bottom w:val="single" w:sz="8" w:space="0" w:color="auto"/>
              <w:right w:val="nil"/>
            </w:tcBorders>
            <w:vAlign w:val="bottom"/>
            <w:hideMark/>
          </w:tcPr>
          <w:p w14:paraId="0BC100F4" w14:textId="12E7F8DC" w:rsidR="00436EA2" w:rsidRPr="00FC22AA" w:rsidRDefault="00436EA2" w:rsidP="007F622A">
            <w:pPr>
              <w:widowControl w:val="0"/>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3</w:t>
            </w:r>
            <w:r w:rsidR="001603ED" w:rsidRPr="00FC22AA">
              <w:rPr>
                <w:rFonts w:ascii="Calibri" w:eastAsia="Times New Roman" w:hAnsi="Calibri" w:cs="Calibri"/>
                <w:b/>
                <w:bCs/>
                <w:lang w:val="en-GB" w:eastAsia="es-ES"/>
              </w:rPr>
              <w:t>1</w:t>
            </w:r>
            <w:r w:rsidRPr="00FC22AA">
              <w:rPr>
                <w:rFonts w:ascii="Calibri" w:eastAsia="Times New Roman" w:hAnsi="Calibri" w:cs="Calibri"/>
                <w:b/>
                <w:bCs/>
                <w:lang w:val="en-GB" w:eastAsia="es-ES"/>
              </w:rPr>
              <w:t>-</w:t>
            </w:r>
            <w:r w:rsidR="001603ED" w:rsidRPr="00FC22AA">
              <w:rPr>
                <w:rFonts w:ascii="Calibri" w:eastAsia="Times New Roman" w:hAnsi="Calibri" w:cs="Calibri"/>
                <w:b/>
                <w:bCs/>
                <w:lang w:val="en-GB" w:eastAsia="es-ES"/>
              </w:rPr>
              <w:t>12</w:t>
            </w:r>
            <w:r w:rsidRPr="00FC22AA">
              <w:rPr>
                <w:rFonts w:ascii="Calibri" w:eastAsia="Times New Roman" w:hAnsi="Calibri" w:cs="Calibri"/>
                <w:b/>
                <w:bCs/>
                <w:lang w:val="en-GB" w:eastAsia="es-ES"/>
              </w:rPr>
              <w:t>-25</w:t>
            </w:r>
          </w:p>
        </w:tc>
        <w:tc>
          <w:tcPr>
            <w:tcW w:w="1080" w:type="dxa"/>
            <w:tcBorders>
              <w:left w:val="nil"/>
              <w:bottom w:val="single" w:sz="8" w:space="0" w:color="auto"/>
              <w:right w:val="nil"/>
            </w:tcBorders>
            <w:vAlign w:val="bottom"/>
            <w:hideMark/>
          </w:tcPr>
          <w:p w14:paraId="064E50EF" w14:textId="1C291A50" w:rsidR="00436EA2" w:rsidRPr="00FC22AA" w:rsidRDefault="00436EA2" w:rsidP="007F622A">
            <w:pPr>
              <w:widowControl w:val="0"/>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31-12-24</w:t>
            </w:r>
          </w:p>
        </w:tc>
        <w:tc>
          <w:tcPr>
            <w:tcW w:w="1080" w:type="dxa"/>
            <w:tcBorders>
              <w:left w:val="nil"/>
              <w:bottom w:val="single" w:sz="8" w:space="0" w:color="auto"/>
              <w:right w:val="nil"/>
            </w:tcBorders>
            <w:vAlign w:val="bottom"/>
            <w:hideMark/>
          </w:tcPr>
          <w:p w14:paraId="05838E76" w14:textId="5254C50E" w:rsidR="00436EA2" w:rsidRPr="00FC22AA" w:rsidRDefault="007F7646" w:rsidP="007F622A">
            <w:pPr>
              <w:widowControl w:val="0"/>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Change</w:t>
            </w:r>
          </w:p>
        </w:tc>
        <w:tc>
          <w:tcPr>
            <w:tcW w:w="1080" w:type="dxa"/>
            <w:tcBorders>
              <w:left w:val="nil"/>
              <w:bottom w:val="single" w:sz="8" w:space="0" w:color="auto"/>
              <w:right w:val="nil"/>
            </w:tcBorders>
            <w:vAlign w:val="bottom"/>
            <w:hideMark/>
          </w:tcPr>
          <w:p w14:paraId="22FCE9BC" w14:textId="77777777" w:rsidR="00436EA2" w:rsidRPr="00FC22AA" w:rsidRDefault="00436EA2" w:rsidP="007F622A">
            <w:pPr>
              <w:widowControl w:val="0"/>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w:t>
            </w:r>
          </w:p>
        </w:tc>
      </w:tr>
      <w:tr w:rsidR="00436EA2" w:rsidRPr="00FC22AA" w14:paraId="6062FC9E" w14:textId="77777777" w:rsidTr="007F622A">
        <w:trPr>
          <w:trHeight w:val="57"/>
        </w:trPr>
        <w:tc>
          <w:tcPr>
            <w:tcW w:w="4194" w:type="dxa"/>
            <w:gridSpan w:val="2"/>
            <w:tcBorders>
              <w:left w:val="nil"/>
              <w:right w:val="nil"/>
            </w:tcBorders>
            <w:noWrap/>
            <w:vAlign w:val="bottom"/>
          </w:tcPr>
          <w:p w14:paraId="13D1D94B" w14:textId="77777777" w:rsidR="00436EA2" w:rsidRPr="00FC22AA" w:rsidRDefault="00436EA2" w:rsidP="007F622A">
            <w:pPr>
              <w:widowControl w:val="0"/>
              <w:spacing w:after="0" w:line="240" w:lineRule="auto"/>
              <w:rPr>
                <w:rFonts w:ascii="Calibri" w:eastAsia="Times New Roman" w:hAnsi="Calibri" w:cs="Calibri"/>
                <w:b/>
                <w:bCs/>
                <w:lang w:val="en-GB" w:eastAsia="es-ES"/>
              </w:rPr>
            </w:pPr>
          </w:p>
        </w:tc>
        <w:tc>
          <w:tcPr>
            <w:tcW w:w="1080" w:type="dxa"/>
            <w:tcBorders>
              <w:left w:val="nil"/>
              <w:right w:val="nil"/>
            </w:tcBorders>
            <w:vAlign w:val="bottom"/>
          </w:tcPr>
          <w:p w14:paraId="7489BDC7" w14:textId="77777777" w:rsidR="00436EA2" w:rsidRPr="00FC22AA" w:rsidRDefault="00436EA2" w:rsidP="007F622A">
            <w:pPr>
              <w:widowControl w:val="0"/>
              <w:spacing w:after="0" w:line="240" w:lineRule="auto"/>
              <w:jc w:val="center"/>
              <w:rPr>
                <w:rFonts w:ascii="Calibri" w:eastAsia="Times New Roman" w:hAnsi="Calibri" w:cs="Calibri"/>
                <w:b/>
                <w:bCs/>
                <w:lang w:val="en-GB" w:eastAsia="es-ES"/>
              </w:rPr>
            </w:pPr>
          </w:p>
        </w:tc>
        <w:tc>
          <w:tcPr>
            <w:tcW w:w="1080" w:type="dxa"/>
            <w:tcBorders>
              <w:left w:val="nil"/>
              <w:right w:val="nil"/>
            </w:tcBorders>
            <w:vAlign w:val="bottom"/>
          </w:tcPr>
          <w:p w14:paraId="63426996" w14:textId="77777777" w:rsidR="00436EA2" w:rsidRPr="00FC22AA" w:rsidRDefault="00436EA2" w:rsidP="007F622A">
            <w:pPr>
              <w:widowControl w:val="0"/>
              <w:spacing w:after="0" w:line="240" w:lineRule="auto"/>
              <w:jc w:val="center"/>
              <w:rPr>
                <w:rFonts w:ascii="Calibri" w:eastAsia="Times New Roman" w:hAnsi="Calibri" w:cs="Calibri"/>
                <w:b/>
                <w:bCs/>
                <w:lang w:val="en-GB" w:eastAsia="es-ES"/>
              </w:rPr>
            </w:pPr>
          </w:p>
        </w:tc>
        <w:tc>
          <w:tcPr>
            <w:tcW w:w="1080" w:type="dxa"/>
            <w:tcBorders>
              <w:left w:val="nil"/>
              <w:right w:val="nil"/>
            </w:tcBorders>
            <w:vAlign w:val="bottom"/>
          </w:tcPr>
          <w:p w14:paraId="05D987B9" w14:textId="77777777" w:rsidR="00436EA2" w:rsidRPr="00FC22AA" w:rsidRDefault="00436EA2" w:rsidP="007F622A">
            <w:pPr>
              <w:widowControl w:val="0"/>
              <w:spacing w:after="0" w:line="240" w:lineRule="auto"/>
              <w:jc w:val="center"/>
              <w:rPr>
                <w:rFonts w:ascii="Calibri" w:eastAsia="Times New Roman" w:hAnsi="Calibri" w:cs="Calibri"/>
                <w:b/>
                <w:bCs/>
                <w:lang w:val="en-GB" w:eastAsia="es-ES"/>
              </w:rPr>
            </w:pPr>
          </w:p>
        </w:tc>
        <w:tc>
          <w:tcPr>
            <w:tcW w:w="1080" w:type="dxa"/>
            <w:tcBorders>
              <w:left w:val="nil"/>
              <w:right w:val="nil"/>
            </w:tcBorders>
            <w:vAlign w:val="bottom"/>
          </w:tcPr>
          <w:p w14:paraId="05386AB9" w14:textId="77777777" w:rsidR="00436EA2" w:rsidRPr="00FC22AA" w:rsidRDefault="00436EA2" w:rsidP="007F622A">
            <w:pPr>
              <w:widowControl w:val="0"/>
              <w:spacing w:after="0" w:line="240" w:lineRule="auto"/>
              <w:jc w:val="center"/>
              <w:rPr>
                <w:rFonts w:ascii="Calibri" w:eastAsia="Times New Roman" w:hAnsi="Calibri" w:cs="Calibri"/>
                <w:b/>
                <w:bCs/>
                <w:lang w:val="en-GB" w:eastAsia="es-ES"/>
              </w:rPr>
            </w:pPr>
          </w:p>
        </w:tc>
      </w:tr>
      <w:tr w:rsidR="00EC5BF0" w:rsidRPr="00FC22AA" w14:paraId="59692410" w14:textId="77777777" w:rsidTr="007F622A">
        <w:trPr>
          <w:trHeight w:val="57"/>
        </w:trPr>
        <w:tc>
          <w:tcPr>
            <w:tcW w:w="4194" w:type="dxa"/>
            <w:gridSpan w:val="2"/>
            <w:tcBorders>
              <w:left w:val="nil"/>
              <w:bottom w:val="single" w:sz="4" w:space="0" w:color="auto"/>
              <w:right w:val="nil"/>
            </w:tcBorders>
            <w:noWrap/>
            <w:vAlign w:val="bottom"/>
            <w:hideMark/>
          </w:tcPr>
          <w:p w14:paraId="50822931" w14:textId="6164EAB2"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Non-current assets</w:t>
            </w:r>
          </w:p>
        </w:tc>
        <w:tc>
          <w:tcPr>
            <w:tcW w:w="1080" w:type="dxa"/>
            <w:tcBorders>
              <w:left w:val="nil"/>
              <w:bottom w:val="single" w:sz="4" w:space="0" w:color="auto"/>
              <w:right w:val="nil"/>
            </w:tcBorders>
            <w:noWrap/>
            <w:vAlign w:val="bottom"/>
            <w:hideMark/>
          </w:tcPr>
          <w:p w14:paraId="2C7316F1" w14:textId="26F3E084" w:rsidR="00EC5BF0" w:rsidRPr="00FC22AA" w:rsidRDefault="00BE2A38"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401</w:t>
            </w:r>
            <w:r w:rsidR="00EA6855" w:rsidRPr="00FC22AA">
              <w:rPr>
                <w:rFonts w:ascii="Calibri" w:eastAsia="Times New Roman" w:hAnsi="Calibri" w:cs="Calibri"/>
                <w:b/>
                <w:bCs/>
                <w:lang w:val="en-GB" w:eastAsia="es-ES"/>
              </w:rPr>
              <w:t>,</w:t>
            </w:r>
            <w:r w:rsidR="00CE2D40" w:rsidRPr="00FC22AA">
              <w:rPr>
                <w:rFonts w:ascii="Calibri" w:eastAsia="Times New Roman" w:hAnsi="Calibri" w:cs="Calibri"/>
                <w:b/>
                <w:bCs/>
                <w:lang w:val="en-GB" w:eastAsia="es-ES"/>
              </w:rPr>
              <w:t>198</w:t>
            </w:r>
          </w:p>
        </w:tc>
        <w:tc>
          <w:tcPr>
            <w:tcW w:w="1080" w:type="dxa"/>
            <w:tcBorders>
              <w:left w:val="nil"/>
              <w:bottom w:val="single" w:sz="4" w:space="0" w:color="auto"/>
              <w:right w:val="nil"/>
            </w:tcBorders>
            <w:noWrap/>
            <w:vAlign w:val="bottom"/>
            <w:hideMark/>
          </w:tcPr>
          <w:p w14:paraId="5643E2BB" w14:textId="2FD53DDF"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403</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800</w:t>
            </w:r>
          </w:p>
        </w:tc>
        <w:tc>
          <w:tcPr>
            <w:tcW w:w="1080" w:type="dxa"/>
            <w:tcBorders>
              <w:left w:val="nil"/>
              <w:bottom w:val="single" w:sz="4" w:space="0" w:color="auto"/>
              <w:right w:val="nil"/>
            </w:tcBorders>
            <w:noWrap/>
            <w:vAlign w:val="bottom"/>
            <w:hideMark/>
          </w:tcPr>
          <w:p w14:paraId="055E0F35" w14:textId="782378EE"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w:t>
            </w:r>
            <w:r w:rsidR="00F03BC0" w:rsidRPr="00FC22AA">
              <w:rPr>
                <w:rFonts w:ascii="Calibri" w:eastAsia="Times New Roman" w:hAnsi="Calibri" w:cs="Calibri"/>
                <w:b/>
                <w:bCs/>
                <w:lang w:val="en-GB" w:eastAsia="es-ES"/>
              </w:rPr>
              <w:t>2</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6</w:t>
            </w:r>
            <w:r w:rsidR="00FF3742" w:rsidRPr="00FC22AA">
              <w:rPr>
                <w:rFonts w:ascii="Calibri" w:eastAsia="Times New Roman" w:hAnsi="Calibri" w:cs="Calibri"/>
                <w:b/>
                <w:bCs/>
                <w:lang w:val="en-GB" w:eastAsia="es-ES"/>
              </w:rPr>
              <w:t>02</w:t>
            </w:r>
          </w:p>
        </w:tc>
        <w:tc>
          <w:tcPr>
            <w:tcW w:w="1080" w:type="dxa"/>
            <w:tcBorders>
              <w:left w:val="nil"/>
              <w:bottom w:val="single" w:sz="4" w:space="0" w:color="auto"/>
              <w:right w:val="nil"/>
            </w:tcBorders>
            <w:noWrap/>
            <w:vAlign w:val="bottom"/>
            <w:hideMark/>
          </w:tcPr>
          <w:p w14:paraId="047A0D9E" w14:textId="2B2DCC63"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w:t>
            </w:r>
            <w:r w:rsidR="008B47C0" w:rsidRPr="00FC22AA">
              <w:rPr>
                <w:rFonts w:ascii="Calibri" w:eastAsia="Times New Roman" w:hAnsi="Calibri" w:cs="Calibri"/>
                <w:b/>
                <w:bCs/>
                <w:lang w:val="en-GB" w:eastAsia="es-ES"/>
              </w:rPr>
              <w:t>0</w:t>
            </w:r>
            <w:r w:rsidR="00EA6855" w:rsidRPr="00FC22AA">
              <w:rPr>
                <w:rFonts w:ascii="Calibri" w:eastAsia="Times New Roman" w:hAnsi="Calibri" w:cs="Calibri"/>
                <w:b/>
                <w:bCs/>
                <w:lang w:val="en-GB" w:eastAsia="es-ES"/>
              </w:rPr>
              <w:t>.</w:t>
            </w:r>
            <w:r w:rsidR="008B47C0" w:rsidRPr="00FC22AA">
              <w:rPr>
                <w:rFonts w:ascii="Calibri" w:eastAsia="Times New Roman" w:hAnsi="Calibri" w:cs="Calibri"/>
                <w:b/>
                <w:bCs/>
                <w:lang w:val="en-GB" w:eastAsia="es-ES"/>
              </w:rPr>
              <w:t>6</w:t>
            </w:r>
          </w:p>
        </w:tc>
      </w:tr>
      <w:tr w:rsidR="00EC5BF0" w:rsidRPr="00FC22AA" w14:paraId="2082A421" w14:textId="77777777" w:rsidTr="007F622A">
        <w:trPr>
          <w:trHeight w:val="57"/>
        </w:trPr>
        <w:tc>
          <w:tcPr>
            <w:tcW w:w="4194" w:type="dxa"/>
            <w:gridSpan w:val="2"/>
            <w:tcBorders>
              <w:top w:val="single" w:sz="4" w:space="0" w:color="auto"/>
              <w:left w:val="nil"/>
              <w:bottom w:val="single" w:sz="4" w:space="0" w:color="auto"/>
              <w:right w:val="nil"/>
            </w:tcBorders>
            <w:noWrap/>
            <w:vAlign w:val="bottom"/>
            <w:hideMark/>
          </w:tcPr>
          <w:p w14:paraId="31996676" w14:textId="65D928F9"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Working capital</w:t>
            </w:r>
          </w:p>
        </w:tc>
        <w:tc>
          <w:tcPr>
            <w:tcW w:w="1080" w:type="dxa"/>
            <w:tcBorders>
              <w:top w:val="single" w:sz="4" w:space="0" w:color="auto"/>
              <w:left w:val="nil"/>
              <w:bottom w:val="single" w:sz="4" w:space="0" w:color="auto"/>
              <w:right w:val="nil"/>
            </w:tcBorders>
            <w:noWrap/>
            <w:vAlign w:val="bottom"/>
            <w:hideMark/>
          </w:tcPr>
          <w:p w14:paraId="64FC7EE1" w14:textId="2CE930FB" w:rsidR="00EC5BF0" w:rsidRPr="00FC22AA" w:rsidRDefault="00C067B3"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36</w:t>
            </w:r>
            <w:r w:rsidR="00EA6855" w:rsidRPr="00FC22AA">
              <w:rPr>
                <w:rFonts w:ascii="Calibri" w:eastAsia="Times New Roman" w:hAnsi="Calibri" w:cs="Calibri"/>
                <w:b/>
                <w:bCs/>
                <w:lang w:val="en-GB" w:eastAsia="es-ES"/>
              </w:rPr>
              <w:t>,</w:t>
            </w:r>
            <w:r w:rsidR="00FD2F0C" w:rsidRPr="00FC22AA">
              <w:rPr>
                <w:rFonts w:ascii="Calibri" w:eastAsia="Times New Roman" w:hAnsi="Calibri" w:cs="Calibri"/>
                <w:b/>
                <w:bCs/>
                <w:lang w:val="en-GB" w:eastAsia="es-ES"/>
              </w:rPr>
              <w:t>181</w:t>
            </w:r>
          </w:p>
        </w:tc>
        <w:tc>
          <w:tcPr>
            <w:tcW w:w="1080" w:type="dxa"/>
            <w:tcBorders>
              <w:top w:val="single" w:sz="4" w:space="0" w:color="auto"/>
              <w:left w:val="nil"/>
              <w:bottom w:val="single" w:sz="4" w:space="0" w:color="auto"/>
              <w:right w:val="nil"/>
            </w:tcBorders>
            <w:noWrap/>
            <w:vAlign w:val="bottom"/>
            <w:hideMark/>
          </w:tcPr>
          <w:p w14:paraId="459C588D" w14:textId="2ED84930"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97</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988</w:t>
            </w:r>
          </w:p>
        </w:tc>
        <w:tc>
          <w:tcPr>
            <w:tcW w:w="1080" w:type="dxa"/>
            <w:tcBorders>
              <w:top w:val="single" w:sz="4" w:space="0" w:color="auto"/>
              <w:left w:val="nil"/>
              <w:bottom w:val="single" w:sz="4" w:space="0" w:color="auto"/>
              <w:right w:val="nil"/>
            </w:tcBorders>
            <w:noWrap/>
            <w:vAlign w:val="bottom"/>
            <w:hideMark/>
          </w:tcPr>
          <w:p w14:paraId="19FDF8C2" w14:textId="18B88610"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w:t>
            </w:r>
            <w:r w:rsidR="007740D3" w:rsidRPr="00FC22AA">
              <w:rPr>
                <w:rFonts w:ascii="Calibri" w:eastAsia="Times New Roman" w:hAnsi="Calibri" w:cs="Calibri"/>
                <w:b/>
                <w:bCs/>
                <w:lang w:val="en-GB" w:eastAsia="es-ES"/>
              </w:rPr>
              <w:t>61</w:t>
            </w:r>
            <w:r w:rsidR="00EA6855" w:rsidRPr="00FC22AA">
              <w:rPr>
                <w:rFonts w:ascii="Calibri" w:eastAsia="Times New Roman" w:hAnsi="Calibri" w:cs="Calibri"/>
                <w:b/>
                <w:bCs/>
                <w:lang w:val="en-GB" w:eastAsia="es-ES"/>
              </w:rPr>
              <w:t>,</w:t>
            </w:r>
            <w:r w:rsidR="00BD7A39" w:rsidRPr="00FC22AA">
              <w:rPr>
                <w:rFonts w:ascii="Calibri" w:eastAsia="Times New Roman" w:hAnsi="Calibri" w:cs="Calibri"/>
                <w:b/>
                <w:bCs/>
                <w:lang w:val="en-GB" w:eastAsia="es-ES"/>
              </w:rPr>
              <w:t>807</w:t>
            </w:r>
          </w:p>
        </w:tc>
        <w:tc>
          <w:tcPr>
            <w:tcW w:w="1080" w:type="dxa"/>
            <w:tcBorders>
              <w:top w:val="single" w:sz="4" w:space="0" w:color="auto"/>
              <w:left w:val="nil"/>
              <w:bottom w:val="single" w:sz="4" w:space="0" w:color="auto"/>
              <w:right w:val="nil"/>
            </w:tcBorders>
            <w:noWrap/>
            <w:vAlign w:val="bottom"/>
            <w:hideMark/>
          </w:tcPr>
          <w:p w14:paraId="3F3CF4A8" w14:textId="2BC0BF24"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w:t>
            </w:r>
            <w:r w:rsidR="008521EC" w:rsidRPr="00FC22AA">
              <w:rPr>
                <w:rFonts w:ascii="Calibri" w:eastAsia="Times New Roman" w:hAnsi="Calibri" w:cs="Calibri"/>
                <w:b/>
                <w:bCs/>
                <w:lang w:val="en-GB" w:eastAsia="es-ES"/>
              </w:rPr>
              <w:t>6</w:t>
            </w:r>
            <w:r w:rsidR="00CC664C" w:rsidRPr="00FC22AA">
              <w:rPr>
                <w:rFonts w:ascii="Calibri" w:eastAsia="Times New Roman" w:hAnsi="Calibri" w:cs="Calibri"/>
                <w:b/>
                <w:bCs/>
                <w:lang w:val="en-GB" w:eastAsia="es-ES"/>
              </w:rPr>
              <w:t>3</w:t>
            </w:r>
            <w:r w:rsidR="00EA6855" w:rsidRPr="00FC22AA">
              <w:rPr>
                <w:rFonts w:ascii="Calibri" w:eastAsia="Times New Roman" w:hAnsi="Calibri" w:cs="Calibri"/>
                <w:b/>
                <w:bCs/>
                <w:lang w:val="en-GB" w:eastAsia="es-ES"/>
              </w:rPr>
              <w:t>.</w:t>
            </w:r>
            <w:r w:rsidR="00CC664C" w:rsidRPr="00FC22AA">
              <w:rPr>
                <w:rFonts w:ascii="Calibri" w:eastAsia="Times New Roman" w:hAnsi="Calibri" w:cs="Calibri"/>
                <w:b/>
                <w:bCs/>
                <w:lang w:val="en-GB" w:eastAsia="es-ES"/>
              </w:rPr>
              <w:t>1</w:t>
            </w:r>
          </w:p>
        </w:tc>
      </w:tr>
      <w:tr w:rsidR="00EC5BF0" w:rsidRPr="00FC22AA" w14:paraId="1A60379F" w14:textId="77777777" w:rsidTr="007F622A">
        <w:trPr>
          <w:trHeight w:val="57"/>
        </w:trPr>
        <w:tc>
          <w:tcPr>
            <w:tcW w:w="194" w:type="dxa"/>
            <w:tcBorders>
              <w:top w:val="nil"/>
              <w:left w:val="nil"/>
              <w:right w:val="nil"/>
            </w:tcBorders>
            <w:noWrap/>
            <w:vAlign w:val="bottom"/>
            <w:hideMark/>
          </w:tcPr>
          <w:p w14:paraId="4EDF4A53" w14:textId="77777777" w:rsidR="00EC5BF0" w:rsidRPr="00FC22AA" w:rsidRDefault="00EC5BF0" w:rsidP="00EC5BF0">
            <w:pPr>
              <w:widowControl w:val="0"/>
              <w:spacing w:after="0" w:line="240" w:lineRule="auto"/>
              <w:jc w:val="right"/>
              <w:rPr>
                <w:rFonts w:ascii="Calibri" w:eastAsia="Times New Roman" w:hAnsi="Calibri" w:cs="Calibri"/>
                <w:b/>
                <w:bCs/>
                <w:lang w:val="en-GB" w:eastAsia="es-ES"/>
              </w:rPr>
            </w:pPr>
          </w:p>
        </w:tc>
        <w:tc>
          <w:tcPr>
            <w:tcW w:w="4000" w:type="dxa"/>
            <w:tcBorders>
              <w:top w:val="nil"/>
              <w:left w:val="nil"/>
              <w:right w:val="nil"/>
            </w:tcBorders>
            <w:noWrap/>
            <w:vAlign w:val="bottom"/>
            <w:hideMark/>
          </w:tcPr>
          <w:p w14:paraId="67331ECD" w14:textId="14091188" w:rsidR="00EC5BF0" w:rsidRPr="00FC22AA" w:rsidRDefault="00EC5BF0" w:rsidP="00EC5BF0">
            <w:pPr>
              <w:widowControl w:val="0"/>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Current assets</w:t>
            </w:r>
          </w:p>
        </w:tc>
        <w:tc>
          <w:tcPr>
            <w:tcW w:w="1080" w:type="dxa"/>
            <w:tcBorders>
              <w:top w:val="nil"/>
              <w:left w:val="nil"/>
              <w:right w:val="nil"/>
            </w:tcBorders>
            <w:noWrap/>
            <w:vAlign w:val="bottom"/>
            <w:hideMark/>
          </w:tcPr>
          <w:p w14:paraId="2F3197B5" w14:textId="549E827F" w:rsidR="00EC5BF0" w:rsidRPr="00FC22AA" w:rsidRDefault="00EC5BF0" w:rsidP="00EC5BF0">
            <w:pPr>
              <w:widowControl w:val="0"/>
              <w:spacing w:after="0" w:line="240" w:lineRule="auto"/>
              <w:ind w:right="113"/>
              <w:jc w:val="right"/>
              <w:rPr>
                <w:rFonts w:ascii="Calibri" w:eastAsia="Times New Roman" w:hAnsi="Calibri" w:cs="Calibri"/>
                <w:lang w:val="en-GB" w:eastAsia="es-ES"/>
              </w:rPr>
            </w:pPr>
            <w:r w:rsidRPr="00FC22AA">
              <w:rPr>
                <w:rFonts w:ascii="Calibri" w:eastAsia="Times New Roman" w:hAnsi="Calibri" w:cs="Calibri"/>
                <w:lang w:val="en-GB" w:eastAsia="es-ES"/>
              </w:rPr>
              <w:t>148</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782</w:t>
            </w:r>
          </w:p>
        </w:tc>
        <w:tc>
          <w:tcPr>
            <w:tcW w:w="1080" w:type="dxa"/>
            <w:tcBorders>
              <w:top w:val="nil"/>
              <w:left w:val="nil"/>
              <w:right w:val="nil"/>
            </w:tcBorders>
            <w:noWrap/>
            <w:vAlign w:val="bottom"/>
            <w:hideMark/>
          </w:tcPr>
          <w:p w14:paraId="1C95D08D" w14:textId="286F76E7" w:rsidR="00EC5BF0" w:rsidRPr="00FC22AA" w:rsidRDefault="00EC5BF0" w:rsidP="00EC5BF0">
            <w:pPr>
              <w:widowControl w:val="0"/>
              <w:spacing w:after="0" w:line="240" w:lineRule="auto"/>
              <w:ind w:right="113"/>
              <w:jc w:val="right"/>
              <w:rPr>
                <w:rFonts w:ascii="Calibri" w:eastAsia="Times New Roman" w:hAnsi="Calibri" w:cs="Calibri"/>
                <w:lang w:val="en-GB" w:eastAsia="es-ES"/>
              </w:rPr>
            </w:pPr>
            <w:r w:rsidRPr="00FC22AA">
              <w:rPr>
                <w:rFonts w:ascii="Calibri" w:eastAsia="Times New Roman" w:hAnsi="Calibri" w:cs="Calibri"/>
                <w:lang w:val="en-GB" w:eastAsia="es-ES"/>
              </w:rPr>
              <w:t>207</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994</w:t>
            </w:r>
          </w:p>
        </w:tc>
        <w:tc>
          <w:tcPr>
            <w:tcW w:w="1080" w:type="dxa"/>
            <w:tcBorders>
              <w:top w:val="nil"/>
              <w:left w:val="nil"/>
              <w:right w:val="nil"/>
            </w:tcBorders>
            <w:noWrap/>
            <w:vAlign w:val="bottom"/>
            <w:hideMark/>
          </w:tcPr>
          <w:p w14:paraId="3A6E63E0" w14:textId="1A3B0A95" w:rsidR="00EC5BF0" w:rsidRPr="00FC22AA" w:rsidRDefault="00EC5BF0" w:rsidP="00EC5BF0">
            <w:pPr>
              <w:widowControl w:val="0"/>
              <w:spacing w:after="0" w:line="240" w:lineRule="auto"/>
              <w:ind w:right="113"/>
              <w:jc w:val="right"/>
              <w:rPr>
                <w:rFonts w:ascii="Calibri" w:eastAsia="Times New Roman" w:hAnsi="Calibri" w:cs="Calibri"/>
                <w:lang w:val="en-GB" w:eastAsia="es-ES"/>
              </w:rPr>
            </w:pPr>
            <w:r w:rsidRPr="00FC22AA">
              <w:rPr>
                <w:rFonts w:ascii="Calibri" w:eastAsia="Times New Roman" w:hAnsi="Calibri" w:cs="Calibri"/>
                <w:lang w:val="en-GB" w:eastAsia="es-ES"/>
              </w:rPr>
              <w:t>-59</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212</w:t>
            </w:r>
          </w:p>
        </w:tc>
        <w:tc>
          <w:tcPr>
            <w:tcW w:w="1080" w:type="dxa"/>
            <w:tcBorders>
              <w:top w:val="nil"/>
              <w:left w:val="nil"/>
              <w:right w:val="nil"/>
            </w:tcBorders>
            <w:noWrap/>
            <w:vAlign w:val="bottom"/>
            <w:hideMark/>
          </w:tcPr>
          <w:p w14:paraId="37FA5A1F" w14:textId="78D1718B" w:rsidR="00EC5BF0" w:rsidRPr="00FC22AA" w:rsidRDefault="00EC5BF0" w:rsidP="00EC5BF0">
            <w:pPr>
              <w:widowControl w:val="0"/>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-28</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5</w:t>
            </w:r>
          </w:p>
        </w:tc>
      </w:tr>
      <w:tr w:rsidR="00EC5BF0" w:rsidRPr="00FC22AA" w14:paraId="6C4EFED9" w14:textId="77777777" w:rsidTr="007F622A">
        <w:trPr>
          <w:trHeight w:val="57"/>
        </w:trPr>
        <w:tc>
          <w:tcPr>
            <w:tcW w:w="194" w:type="dxa"/>
            <w:tcBorders>
              <w:top w:val="nil"/>
              <w:left w:val="nil"/>
              <w:bottom w:val="single" w:sz="8" w:space="0" w:color="auto"/>
              <w:right w:val="nil"/>
            </w:tcBorders>
            <w:noWrap/>
            <w:vAlign w:val="bottom"/>
            <w:hideMark/>
          </w:tcPr>
          <w:p w14:paraId="784298DD" w14:textId="12B806B6" w:rsidR="00EC5BF0" w:rsidRPr="00FC22AA" w:rsidRDefault="00EC5BF0" w:rsidP="00EC5BF0">
            <w:pPr>
              <w:widowControl w:val="0"/>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 </w:t>
            </w:r>
          </w:p>
        </w:tc>
        <w:tc>
          <w:tcPr>
            <w:tcW w:w="4000" w:type="dxa"/>
            <w:tcBorders>
              <w:top w:val="nil"/>
              <w:left w:val="nil"/>
              <w:bottom w:val="single" w:sz="8" w:space="0" w:color="auto"/>
              <w:right w:val="nil"/>
            </w:tcBorders>
            <w:noWrap/>
            <w:vAlign w:val="bottom"/>
            <w:hideMark/>
          </w:tcPr>
          <w:p w14:paraId="2DEF48C7" w14:textId="7D741A23" w:rsidR="00EC5BF0" w:rsidRPr="00FC22AA" w:rsidRDefault="00EC5BF0" w:rsidP="00EC5BF0">
            <w:pPr>
              <w:widowControl w:val="0"/>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Current liabilities</w:t>
            </w:r>
          </w:p>
        </w:tc>
        <w:tc>
          <w:tcPr>
            <w:tcW w:w="1080" w:type="dxa"/>
            <w:tcBorders>
              <w:top w:val="nil"/>
              <w:left w:val="nil"/>
              <w:bottom w:val="single" w:sz="8" w:space="0" w:color="auto"/>
              <w:right w:val="nil"/>
            </w:tcBorders>
            <w:noWrap/>
            <w:vAlign w:val="bottom"/>
            <w:hideMark/>
          </w:tcPr>
          <w:p w14:paraId="4FC7C2BF" w14:textId="2B9EF16B" w:rsidR="00EC5BF0" w:rsidRPr="00FC22AA" w:rsidRDefault="00EC5BF0" w:rsidP="00EC5BF0">
            <w:pPr>
              <w:widowControl w:val="0"/>
              <w:spacing w:after="0" w:line="240" w:lineRule="auto"/>
              <w:ind w:right="113"/>
              <w:jc w:val="right"/>
              <w:rPr>
                <w:rFonts w:ascii="Calibri" w:eastAsia="Times New Roman" w:hAnsi="Calibri" w:cs="Calibri"/>
                <w:lang w:val="en-GB" w:eastAsia="es-ES"/>
              </w:rPr>
            </w:pPr>
            <w:r w:rsidRPr="00FC22AA">
              <w:rPr>
                <w:rFonts w:ascii="Calibri" w:eastAsia="Times New Roman" w:hAnsi="Calibri" w:cs="Calibri"/>
                <w:lang w:val="en-GB" w:eastAsia="es-ES"/>
              </w:rPr>
              <w:t>-</w:t>
            </w:r>
            <w:r w:rsidR="00496027" w:rsidRPr="00FC22AA">
              <w:rPr>
                <w:rFonts w:ascii="Calibri" w:eastAsia="Times New Roman" w:hAnsi="Calibri" w:cs="Calibri"/>
                <w:lang w:val="en-GB" w:eastAsia="es-ES"/>
              </w:rPr>
              <w:t>112</w:t>
            </w:r>
            <w:r w:rsidR="00EA6855" w:rsidRPr="00FC22AA">
              <w:rPr>
                <w:rFonts w:ascii="Calibri" w:eastAsia="Times New Roman" w:hAnsi="Calibri" w:cs="Calibri"/>
                <w:lang w:val="en-GB" w:eastAsia="es-ES"/>
              </w:rPr>
              <w:t>,</w:t>
            </w:r>
            <w:r w:rsidR="009C7221" w:rsidRPr="00FC22AA">
              <w:rPr>
                <w:rFonts w:ascii="Calibri" w:eastAsia="Times New Roman" w:hAnsi="Calibri" w:cs="Calibri"/>
                <w:lang w:val="en-GB" w:eastAsia="es-ES"/>
              </w:rPr>
              <w:t>601</w:t>
            </w:r>
          </w:p>
        </w:tc>
        <w:tc>
          <w:tcPr>
            <w:tcW w:w="1080" w:type="dxa"/>
            <w:tcBorders>
              <w:top w:val="nil"/>
              <w:left w:val="nil"/>
              <w:bottom w:val="single" w:sz="8" w:space="0" w:color="auto"/>
              <w:right w:val="nil"/>
            </w:tcBorders>
            <w:noWrap/>
            <w:vAlign w:val="bottom"/>
            <w:hideMark/>
          </w:tcPr>
          <w:p w14:paraId="3D870C07" w14:textId="7C17D788" w:rsidR="00EC5BF0" w:rsidRPr="00FC22AA" w:rsidRDefault="00EC5BF0" w:rsidP="00EC5BF0">
            <w:pPr>
              <w:widowControl w:val="0"/>
              <w:spacing w:after="0" w:line="240" w:lineRule="auto"/>
              <w:ind w:right="113"/>
              <w:jc w:val="right"/>
              <w:rPr>
                <w:rFonts w:ascii="Calibri" w:eastAsia="Times New Roman" w:hAnsi="Calibri" w:cs="Calibri"/>
                <w:lang w:val="en-GB" w:eastAsia="es-ES"/>
              </w:rPr>
            </w:pPr>
            <w:r w:rsidRPr="00FC22AA">
              <w:rPr>
                <w:rFonts w:ascii="Calibri" w:eastAsia="Times New Roman" w:hAnsi="Calibri" w:cs="Calibri"/>
                <w:lang w:val="en-GB" w:eastAsia="es-ES"/>
              </w:rPr>
              <w:t>-110</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006</w:t>
            </w:r>
          </w:p>
        </w:tc>
        <w:tc>
          <w:tcPr>
            <w:tcW w:w="1080" w:type="dxa"/>
            <w:tcBorders>
              <w:top w:val="nil"/>
              <w:left w:val="nil"/>
              <w:bottom w:val="single" w:sz="8" w:space="0" w:color="auto"/>
              <w:right w:val="nil"/>
            </w:tcBorders>
            <w:noWrap/>
            <w:vAlign w:val="bottom"/>
            <w:hideMark/>
          </w:tcPr>
          <w:p w14:paraId="00E53EF1" w14:textId="33FFCDD0" w:rsidR="00EC5BF0" w:rsidRPr="00FC22AA" w:rsidRDefault="0046130C" w:rsidP="00EC5BF0">
            <w:pPr>
              <w:widowControl w:val="0"/>
              <w:spacing w:after="0" w:line="240" w:lineRule="auto"/>
              <w:ind w:right="113"/>
              <w:jc w:val="right"/>
              <w:rPr>
                <w:rFonts w:ascii="Calibri" w:eastAsia="Times New Roman" w:hAnsi="Calibri" w:cs="Calibri"/>
                <w:lang w:val="en-GB" w:eastAsia="es-ES"/>
              </w:rPr>
            </w:pPr>
            <w:r w:rsidRPr="00FC22AA">
              <w:rPr>
                <w:rFonts w:ascii="Calibri" w:eastAsia="Times New Roman" w:hAnsi="Calibri" w:cs="Calibri"/>
                <w:lang w:val="en-GB" w:eastAsia="es-ES"/>
              </w:rPr>
              <w:t>-2,595</w:t>
            </w:r>
          </w:p>
        </w:tc>
        <w:tc>
          <w:tcPr>
            <w:tcW w:w="1080" w:type="dxa"/>
            <w:tcBorders>
              <w:top w:val="nil"/>
              <w:left w:val="nil"/>
              <w:bottom w:val="single" w:sz="8" w:space="0" w:color="auto"/>
              <w:right w:val="nil"/>
            </w:tcBorders>
            <w:noWrap/>
            <w:vAlign w:val="bottom"/>
            <w:hideMark/>
          </w:tcPr>
          <w:p w14:paraId="75AC4138" w14:textId="74A77B63" w:rsidR="00EC5BF0" w:rsidRPr="00FC22AA" w:rsidRDefault="008E1B69" w:rsidP="00EC5BF0">
            <w:pPr>
              <w:widowControl w:val="0"/>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2.4</w:t>
            </w:r>
          </w:p>
        </w:tc>
      </w:tr>
      <w:tr w:rsidR="00EC5BF0" w:rsidRPr="00FC22AA" w14:paraId="5C28435F" w14:textId="77777777" w:rsidTr="007F622A">
        <w:trPr>
          <w:trHeight w:val="57"/>
        </w:trPr>
        <w:tc>
          <w:tcPr>
            <w:tcW w:w="4194" w:type="dxa"/>
            <w:gridSpan w:val="2"/>
            <w:tcBorders>
              <w:top w:val="single" w:sz="8" w:space="0" w:color="auto"/>
              <w:left w:val="nil"/>
              <w:bottom w:val="single" w:sz="8" w:space="0" w:color="auto"/>
              <w:right w:val="nil"/>
            </w:tcBorders>
            <w:noWrap/>
            <w:vAlign w:val="bottom"/>
            <w:hideMark/>
          </w:tcPr>
          <w:p w14:paraId="2D93B9CD" w14:textId="73DC9D9B"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Resources used</w:t>
            </w:r>
          </w:p>
        </w:tc>
        <w:tc>
          <w:tcPr>
            <w:tcW w:w="1080" w:type="dxa"/>
            <w:tcBorders>
              <w:top w:val="single" w:sz="8" w:space="0" w:color="auto"/>
              <w:left w:val="nil"/>
              <w:bottom w:val="single" w:sz="8" w:space="0" w:color="auto"/>
              <w:right w:val="nil"/>
            </w:tcBorders>
            <w:noWrap/>
            <w:vAlign w:val="bottom"/>
            <w:hideMark/>
          </w:tcPr>
          <w:p w14:paraId="174BC7C4" w14:textId="4B2D4253"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437</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379</w:t>
            </w:r>
          </w:p>
        </w:tc>
        <w:tc>
          <w:tcPr>
            <w:tcW w:w="1080" w:type="dxa"/>
            <w:tcBorders>
              <w:top w:val="single" w:sz="8" w:space="0" w:color="auto"/>
              <w:left w:val="nil"/>
              <w:bottom w:val="single" w:sz="8" w:space="0" w:color="auto"/>
              <w:right w:val="nil"/>
            </w:tcBorders>
            <w:noWrap/>
            <w:vAlign w:val="bottom"/>
            <w:hideMark/>
          </w:tcPr>
          <w:p w14:paraId="513B58F5" w14:textId="64C87E6E"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501</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788</w:t>
            </w:r>
          </w:p>
        </w:tc>
        <w:tc>
          <w:tcPr>
            <w:tcW w:w="1080" w:type="dxa"/>
            <w:tcBorders>
              <w:top w:val="single" w:sz="8" w:space="0" w:color="auto"/>
              <w:left w:val="nil"/>
              <w:bottom w:val="single" w:sz="8" w:space="0" w:color="auto"/>
              <w:right w:val="nil"/>
            </w:tcBorders>
            <w:noWrap/>
            <w:vAlign w:val="bottom"/>
            <w:hideMark/>
          </w:tcPr>
          <w:p w14:paraId="6CD09607" w14:textId="7D713920"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-64</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409</w:t>
            </w:r>
          </w:p>
        </w:tc>
        <w:tc>
          <w:tcPr>
            <w:tcW w:w="1080" w:type="dxa"/>
            <w:tcBorders>
              <w:top w:val="single" w:sz="8" w:space="0" w:color="auto"/>
              <w:left w:val="nil"/>
              <w:bottom w:val="single" w:sz="8" w:space="0" w:color="auto"/>
              <w:right w:val="nil"/>
            </w:tcBorders>
            <w:noWrap/>
            <w:vAlign w:val="bottom"/>
            <w:hideMark/>
          </w:tcPr>
          <w:p w14:paraId="19188162" w14:textId="402351D4"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-12</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8</w:t>
            </w:r>
          </w:p>
        </w:tc>
      </w:tr>
      <w:tr w:rsidR="00436EA2" w:rsidRPr="00FC22AA" w14:paraId="79B553A9" w14:textId="77777777" w:rsidTr="007F622A">
        <w:trPr>
          <w:trHeight w:val="57"/>
        </w:trPr>
        <w:tc>
          <w:tcPr>
            <w:tcW w:w="194" w:type="dxa"/>
            <w:tcBorders>
              <w:top w:val="nil"/>
              <w:left w:val="nil"/>
              <w:bottom w:val="nil"/>
              <w:right w:val="nil"/>
            </w:tcBorders>
            <w:noWrap/>
            <w:vAlign w:val="bottom"/>
          </w:tcPr>
          <w:p w14:paraId="0FAD8B40" w14:textId="77777777" w:rsidR="00436EA2" w:rsidRPr="00FC22AA" w:rsidRDefault="00436EA2" w:rsidP="007F622A">
            <w:pPr>
              <w:widowControl w:val="0"/>
              <w:spacing w:after="0" w:line="240" w:lineRule="auto"/>
              <w:jc w:val="right"/>
              <w:rPr>
                <w:rFonts w:ascii="Calibri" w:eastAsia="Times New Roman" w:hAnsi="Calibri" w:cs="Calibri"/>
                <w:b/>
                <w:bCs/>
                <w:lang w:val="en-GB" w:eastAsia="es-ES"/>
              </w:rPr>
            </w:pPr>
          </w:p>
        </w:tc>
        <w:tc>
          <w:tcPr>
            <w:tcW w:w="4000" w:type="dxa"/>
            <w:tcBorders>
              <w:top w:val="nil"/>
              <w:left w:val="nil"/>
              <w:bottom w:val="nil"/>
              <w:right w:val="nil"/>
            </w:tcBorders>
            <w:noWrap/>
            <w:vAlign w:val="bottom"/>
          </w:tcPr>
          <w:p w14:paraId="0FC3D3C5" w14:textId="77777777" w:rsidR="00436EA2" w:rsidRPr="00FC22AA" w:rsidRDefault="00436EA2" w:rsidP="007F622A">
            <w:pPr>
              <w:widowControl w:val="0"/>
              <w:spacing w:after="0" w:line="240" w:lineRule="auto"/>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tcPr>
          <w:p w14:paraId="669FE4E9" w14:textId="77777777" w:rsidR="00436EA2" w:rsidRPr="00FC22AA" w:rsidRDefault="00436EA2" w:rsidP="007F622A">
            <w:pPr>
              <w:widowControl w:val="0"/>
              <w:spacing w:after="0" w:line="240" w:lineRule="auto"/>
              <w:ind w:right="113"/>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tcPr>
          <w:p w14:paraId="1F1DAF44" w14:textId="77777777" w:rsidR="00436EA2" w:rsidRPr="00FC22AA" w:rsidRDefault="00436EA2" w:rsidP="007F622A">
            <w:pPr>
              <w:widowControl w:val="0"/>
              <w:spacing w:after="0" w:line="240" w:lineRule="auto"/>
              <w:ind w:right="113"/>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tcPr>
          <w:p w14:paraId="50D97767" w14:textId="77777777" w:rsidR="00436EA2" w:rsidRPr="00FC22AA" w:rsidRDefault="00436EA2" w:rsidP="007F622A">
            <w:pPr>
              <w:widowControl w:val="0"/>
              <w:spacing w:after="0" w:line="240" w:lineRule="auto"/>
              <w:ind w:right="113"/>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tcPr>
          <w:p w14:paraId="41C690FF" w14:textId="77777777" w:rsidR="00436EA2" w:rsidRPr="00FC22AA" w:rsidRDefault="00436EA2" w:rsidP="007F622A">
            <w:pPr>
              <w:widowControl w:val="0"/>
              <w:spacing w:after="0" w:line="240" w:lineRule="auto"/>
              <w:ind w:right="284"/>
              <w:rPr>
                <w:rFonts w:ascii="Times New Roman" w:eastAsia="Times New Roman" w:hAnsi="Times New Roman" w:cs="Times New Roman"/>
                <w:sz w:val="20"/>
                <w:szCs w:val="20"/>
                <w:lang w:val="en-GB" w:eastAsia="es-ES"/>
              </w:rPr>
            </w:pPr>
          </w:p>
        </w:tc>
      </w:tr>
      <w:tr w:rsidR="00436EA2" w:rsidRPr="00FC22AA" w14:paraId="7F269BAB" w14:textId="77777777" w:rsidTr="007F622A">
        <w:trPr>
          <w:trHeight w:val="57"/>
        </w:trPr>
        <w:tc>
          <w:tcPr>
            <w:tcW w:w="194" w:type="dxa"/>
            <w:tcBorders>
              <w:top w:val="nil"/>
              <w:left w:val="nil"/>
              <w:bottom w:val="nil"/>
              <w:right w:val="nil"/>
            </w:tcBorders>
            <w:noWrap/>
            <w:vAlign w:val="bottom"/>
            <w:hideMark/>
          </w:tcPr>
          <w:p w14:paraId="3C57701C" w14:textId="77777777" w:rsidR="00436EA2" w:rsidRPr="00FC22AA" w:rsidRDefault="00436EA2" w:rsidP="007F622A">
            <w:pPr>
              <w:widowControl w:val="0"/>
              <w:spacing w:after="0" w:line="240" w:lineRule="auto"/>
              <w:jc w:val="right"/>
              <w:rPr>
                <w:rFonts w:ascii="Calibri" w:eastAsia="Times New Roman" w:hAnsi="Calibri" w:cs="Calibri"/>
                <w:b/>
                <w:bCs/>
                <w:lang w:val="en-GB" w:eastAsia="es-ES"/>
              </w:rPr>
            </w:pPr>
          </w:p>
        </w:tc>
        <w:tc>
          <w:tcPr>
            <w:tcW w:w="4000" w:type="dxa"/>
            <w:tcBorders>
              <w:top w:val="nil"/>
              <w:left w:val="nil"/>
              <w:bottom w:val="nil"/>
              <w:right w:val="nil"/>
            </w:tcBorders>
            <w:noWrap/>
            <w:vAlign w:val="bottom"/>
            <w:hideMark/>
          </w:tcPr>
          <w:p w14:paraId="0174A370" w14:textId="77777777" w:rsidR="00436EA2" w:rsidRPr="00FC22AA" w:rsidRDefault="00436EA2" w:rsidP="007F622A">
            <w:pPr>
              <w:widowControl w:val="0"/>
              <w:spacing w:after="0" w:line="240" w:lineRule="auto"/>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hideMark/>
          </w:tcPr>
          <w:p w14:paraId="72AEBB2E" w14:textId="77777777" w:rsidR="00436EA2" w:rsidRPr="00FC22AA" w:rsidRDefault="00436EA2" w:rsidP="007F622A">
            <w:pPr>
              <w:widowControl w:val="0"/>
              <w:spacing w:after="0" w:line="240" w:lineRule="auto"/>
              <w:ind w:right="113"/>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hideMark/>
          </w:tcPr>
          <w:p w14:paraId="344FB618" w14:textId="77777777" w:rsidR="00436EA2" w:rsidRPr="00FC22AA" w:rsidRDefault="00436EA2" w:rsidP="007F622A">
            <w:pPr>
              <w:widowControl w:val="0"/>
              <w:spacing w:after="0" w:line="240" w:lineRule="auto"/>
              <w:ind w:right="113"/>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hideMark/>
          </w:tcPr>
          <w:p w14:paraId="710988C3" w14:textId="77777777" w:rsidR="00436EA2" w:rsidRPr="00FC22AA" w:rsidRDefault="00436EA2" w:rsidP="007F622A">
            <w:pPr>
              <w:widowControl w:val="0"/>
              <w:spacing w:after="0" w:line="240" w:lineRule="auto"/>
              <w:ind w:right="113"/>
              <w:rPr>
                <w:rFonts w:ascii="Times New Roman" w:eastAsia="Times New Roman" w:hAnsi="Times New Roman" w:cs="Times New Roman"/>
                <w:sz w:val="20"/>
                <w:szCs w:val="20"/>
                <w:lang w:val="en-GB" w:eastAsia="es-ES"/>
              </w:rPr>
            </w:pPr>
          </w:p>
        </w:tc>
        <w:tc>
          <w:tcPr>
            <w:tcW w:w="1080" w:type="dxa"/>
            <w:tcBorders>
              <w:top w:val="nil"/>
              <w:left w:val="nil"/>
              <w:bottom w:val="nil"/>
              <w:right w:val="nil"/>
            </w:tcBorders>
            <w:noWrap/>
            <w:vAlign w:val="bottom"/>
            <w:hideMark/>
          </w:tcPr>
          <w:p w14:paraId="15D09D13" w14:textId="77777777" w:rsidR="00436EA2" w:rsidRPr="00FC22AA" w:rsidRDefault="00436EA2" w:rsidP="007F622A">
            <w:pPr>
              <w:widowControl w:val="0"/>
              <w:spacing w:after="0" w:line="240" w:lineRule="auto"/>
              <w:ind w:right="284"/>
              <w:rPr>
                <w:rFonts w:ascii="Times New Roman" w:eastAsia="Times New Roman" w:hAnsi="Times New Roman" w:cs="Times New Roman"/>
                <w:sz w:val="20"/>
                <w:szCs w:val="20"/>
                <w:lang w:val="en-GB" w:eastAsia="es-ES"/>
              </w:rPr>
            </w:pPr>
          </w:p>
        </w:tc>
      </w:tr>
      <w:tr w:rsidR="00EC5BF0" w:rsidRPr="00FC22AA" w14:paraId="476C2A6E" w14:textId="77777777" w:rsidTr="007F622A">
        <w:trPr>
          <w:trHeight w:val="57"/>
        </w:trPr>
        <w:tc>
          <w:tcPr>
            <w:tcW w:w="4194" w:type="dxa"/>
            <w:gridSpan w:val="2"/>
            <w:tcBorders>
              <w:top w:val="nil"/>
              <w:left w:val="nil"/>
              <w:bottom w:val="single" w:sz="4" w:space="0" w:color="auto"/>
              <w:right w:val="nil"/>
            </w:tcBorders>
            <w:noWrap/>
            <w:vAlign w:val="bottom"/>
            <w:hideMark/>
          </w:tcPr>
          <w:p w14:paraId="072EF10D" w14:textId="35761C8D"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Equity</w:t>
            </w:r>
          </w:p>
        </w:tc>
        <w:tc>
          <w:tcPr>
            <w:tcW w:w="1080" w:type="dxa"/>
            <w:tcBorders>
              <w:top w:val="nil"/>
              <w:left w:val="nil"/>
              <w:bottom w:val="single" w:sz="4" w:space="0" w:color="auto"/>
              <w:right w:val="nil"/>
            </w:tcBorders>
            <w:noWrap/>
            <w:vAlign w:val="bottom"/>
            <w:hideMark/>
          </w:tcPr>
          <w:p w14:paraId="2EE23200" w14:textId="2FB1E2EC"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287</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247</w:t>
            </w:r>
          </w:p>
        </w:tc>
        <w:tc>
          <w:tcPr>
            <w:tcW w:w="1080" w:type="dxa"/>
            <w:tcBorders>
              <w:top w:val="nil"/>
              <w:left w:val="nil"/>
              <w:bottom w:val="single" w:sz="4" w:space="0" w:color="auto"/>
              <w:right w:val="nil"/>
            </w:tcBorders>
            <w:noWrap/>
            <w:vAlign w:val="bottom"/>
            <w:hideMark/>
          </w:tcPr>
          <w:p w14:paraId="36A4FF45" w14:textId="04223672"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341</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157</w:t>
            </w:r>
          </w:p>
        </w:tc>
        <w:tc>
          <w:tcPr>
            <w:tcW w:w="1080" w:type="dxa"/>
            <w:tcBorders>
              <w:top w:val="nil"/>
              <w:left w:val="nil"/>
              <w:bottom w:val="single" w:sz="4" w:space="0" w:color="auto"/>
              <w:right w:val="nil"/>
            </w:tcBorders>
            <w:noWrap/>
            <w:vAlign w:val="bottom"/>
            <w:hideMark/>
          </w:tcPr>
          <w:p w14:paraId="72E1C8AA" w14:textId="2C5C7FA3"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-53</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910</w:t>
            </w:r>
          </w:p>
        </w:tc>
        <w:tc>
          <w:tcPr>
            <w:tcW w:w="1080" w:type="dxa"/>
            <w:tcBorders>
              <w:top w:val="nil"/>
              <w:left w:val="nil"/>
              <w:bottom w:val="single" w:sz="4" w:space="0" w:color="auto"/>
              <w:right w:val="nil"/>
            </w:tcBorders>
            <w:noWrap/>
            <w:vAlign w:val="bottom"/>
            <w:hideMark/>
          </w:tcPr>
          <w:p w14:paraId="5ADC105A" w14:textId="40854D77"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-15</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8</w:t>
            </w:r>
          </w:p>
        </w:tc>
      </w:tr>
      <w:tr w:rsidR="00EC5BF0" w:rsidRPr="00FC22AA" w14:paraId="361623A8" w14:textId="77777777" w:rsidTr="007F622A">
        <w:trPr>
          <w:trHeight w:val="57"/>
        </w:trPr>
        <w:tc>
          <w:tcPr>
            <w:tcW w:w="4194" w:type="dxa"/>
            <w:gridSpan w:val="2"/>
            <w:tcBorders>
              <w:top w:val="single" w:sz="4" w:space="0" w:color="auto"/>
              <w:left w:val="nil"/>
              <w:bottom w:val="single" w:sz="4" w:space="0" w:color="auto"/>
              <w:right w:val="nil"/>
            </w:tcBorders>
            <w:noWrap/>
            <w:vAlign w:val="bottom"/>
            <w:hideMark/>
          </w:tcPr>
          <w:p w14:paraId="1BA4A0B8" w14:textId="13535401"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Net financial debt</w:t>
            </w:r>
          </w:p>
        </w:tc>
        <w:tc>
          <w:tcPr>
            <w:tcW w:w="1080" w:type="dxa"/>
            <w:tcBorders>
              <w:top w:val="nil"/>
              <w:left w:val="nil"/>
              <w:bottom w:val="single" w:sz="4" w:space="0" w:color="auto"/>
              <w:right w:val="nil"/>
            </w:tcBorders>
            <w:noWrap/>
            <w:vAlign w:val="bottom"/>
            <w:hideMark/>
          </w:tcPr>
          <w:p w14:paraId="15B675C2" w14:textId="5F52AF16"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125</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001</w:t>
            </w:r>
          </w:p>
        </w:tc>
        <w:tc>
          <w:tcPr>
            <w:tcW w:w="1080" w:type="dxa"/>
            <w:tcBorders>
              <w:top w:val="nil"/>
              <w:left w:val="nil"/>
              <w:bottom w:val="single" w:sz="4" w:space="0" w:color="auto"/>
              <w:right w:val="nil"/>
            </w:tcBorders>
            <w:noWrap/>
            <w:vAlign w:val="bottom"/>
            <w:hideMark/>
          </w:tcPr>
          <w:p w14:paraId="13D04ED3" w14:textId="49339A39"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133</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578</w:t>
            </w:r>
          </w:p>
        </w:tc>
        <w:tc>
          <w:tcPr>
            <w:tcW w:w="1080" w:type="dxa"/>
            <w:tcBorders>
              <w:top w:val="nil"/>
              <w:left w:val="nil"/>
              <w:bottom w:val="single" w:sz="4" w:space="0" w:color="auto"/>
              <w:right w:val="nil"/>
            </w:tcBorders>
            <w:noWrap/>
            <w:vAlign w:val="bottom"/>
            <w:hideMark/>
          </w:tcPr>
          <w:p w14:paraId="396CA2BC" w14:textId="1898CEA8"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-8</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577</w:t>
            </w:r>
          </w:p>
        </w:tc>
        <w:tc>
          <w:tcPr>
            <w:tcW w:w="1080" w:type="dxa"/>
            <w:tcBorders>
              <w:top w:val="nil"/>
              <w:left w:val="nil"/>
              <w:bottom w:val="single" w:sz="4" w:space="0" w:color="auto"/>
              <w:right w:val="nil"/>
            </w:tcBorders>
            <w:noWrap/>
            <w:vAlign w:val="bottom"/>
            <w:hideMark/>
          </w:tcPr>
          <w:p w14:paraId="17ABD4F9" w14:textId="05D48D31"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-6</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4</w:t>
            </w:r>
          </w:p>
        </w:tc>
      </w:tr>
      <w:tr w:rsidR="00EC5BF0" w:rsidRPr="00FC22AA" w14:paraId="5194B7BC" w14:textId="77777777" w:rsidTr="007F622A">
        <w:trPr>
          <w:trHeight w:val="57"/>
        </w:trPr>
        <w:tc>
          <w:tcPr>
            <w:tcW w:w="4194" w:type="dxa"/>
            <w:gridSpan w:val="2"/>
            <w:tcBorders>
              <w:top w:val="single" w:sz="4" w:space="0" w:color="auto"/>
              <w:left w:val="nil"/>
              <w:bottom w:val="single" w:sz="8" w:space="0" w:color="auto"/>
              <w:right w:val="nil"/>
            </w:tcBorders>
            <w:noWrap/>
            <w:vAlign w:val="bottom"/>
            <w:hideMark/>
          </w:tcPr>
          <w:p w14:paraId="0A62BDA6" w14:textId="343F95A0"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Provisions and other debts</w:t>
            </w:r>
          </w:p>
        </w:tc>
        <w:tc>
          <w:tcPr>
            <w:tcW w:w="1080" w:type="dxa"/>
            <w:tcBorders>
              <w:top w:val="single" w:sz="4" w:space="0" w:color="auto"/>
              <w:left w:val="nil"/>
              <w:bottom w:val="single" w:sz="8" w:space="0" w:color="auto"/>
              <w:right w:val="nil"/>
            </w:tcBorders>
            <w:noWrap/>
            <w:vAlign w:val="bottom"/>
            <w:hideMark/>
          </w:tcPr>
          <w:p w14:paraId="09124613" w14:textId="6997065F"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25</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131</w:t>
            </w:r>
          </w:p>
        </w:tc>
        <w:tc>
          <w:tcPr>
            <w:tcW w:w="1080" w:type="dxa"/>
            <w:tcBorders>
              <w:top w:val="single" w:sz="4" w:space="0" w:color="auto"/>
              <w:left w:val="nil"/>
              <w:bottom w:val="single" w:sz="8" w:space="0" w:color="auto"/>
              <w:right w:val="nil"/>
            </w:tcBorders>
            <w:noWrap/>
            <w:vAlign w:val="bottom"/>
            <w:hideMark/>
          </w:tcPr>
          <w:p w14:paraId="1D17064B" w14:textId="5B87533C"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27</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053</w:t>
            </w:r>
          </w:p>
        </w:tc>
        <w:tc>
          <w:tcPr>
            <w:tcW w:w="1080" w:type="dxa"/>
            <w:tcBorders>
              <w:top w:val="single" w:sz="4" w:space="0" w:color="auto"/>
              <w:left w:val="nil"/>
              <w:bottom w:val="single" w:sz="8" w:space="0" w:color="auto"/>
              <w:right w:val="nil"/>
            </w:tcBorders>
            <w:noWrap/>
            <w:vAlign w:val="bottom"/>
            <w:hideMark/>
          </w:tcPr>
          <w:p w14:paraId="1759385A" w14:textId="64EF8914"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922</w:t>
            </w:r>
          </w:p>
        </w:tc>
        <w:tc>
          <w:tcPr>
            <w:tcW w:w="1080" w:type="dxa"/>
            <w:tcBorders>
              <w:top w:val="single" w:sz="4" w:space="0" w:color="auto"/>
              <w:left w:val="nil"/>
              <w:bottom w:val="single" w:sz="8" w:space="0" w:color="auto"/>
              <w:right w:val="nil"/>
            </w:tcBorders>
            <w:noWrap/>
            <w:vAlign w:val="bottom"/>
            <w:hideMark/>
          </w:tcPr>
          <w:p w14:paraId="54D384A6" w14:textId="202DB040"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-7</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1</w:t>
            </w:r>
          </w:p>
        </w:tc>
      </w:tr>
      <w:tr w:rsidR="00EC5BF0" w:rsidRPr="00FC22AA" w14:paraId="706F3921" w14:textId="77777777" w:rsidTr="007F622A">
        <w:trPr>
          <w:trHeight w:val="57"/>
        </w:trPr>
        <w:tc>
          <w:tcPr>
            <w:tcW w:w="4194" w:type="dxa"/>
            <w:gridSpan w:val="2"/>
            <w:tcBorders>
              <w:top w:val="single" w:sz="8" w:space="0" w:color="auto"/>
              <w:left w:val="nil"/>
              <w:bottom w:val="single" w:sz="8" w:space="0" w:color="auto"/>
              <w:right w:val="nil"/>
            </w:tcBorders>
            <w:noWrap/>
            <w:vAlign w:val="bottom"/>
            <w:hideMark/>
          </w:tcPr>
          <w:p w14:paraId="5159828F" w14:textId="0D172458" w:rsidR="00EC5BF0" w:rsidRPr="00FC22AA" w:rsidRDefault="00EC5BF0" w:rsidP="00EC5BF0">
            <w:pPr>
              <w:widowControl w:val="0"/>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Source of funds</w:t>
            </w:r>
          </w:p>
        </w:tc>
        <w:tc>
          <w:tcPr>
            <w:tcW w:w="1080" w:type="dxa"/>
            <w:tcBorders>
              <w:top w:val="single" w:sz="8" w:space="0" w:color="auto"/>
              <w:left w:val="nil"/>
              <w:bottom w:val="single" w:sz="8" w:space="0" w:color="auto"/>
              <w:right w:val="nil"/>
            </w:tcBorders>
            <w:noWrap/>
            <w:vAlign w:val="bottom"/>
            <w:hideMark/>
          </w:tcPr>
          <w:p w14:paraId="71F28AED" w14:textId="1E64C840"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437</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379</w:t>
            </w:r>
          </w:p>
        </w:tc>
        <w:tc>
          <w:tcPr>
            <w:tcW w:w="1080" w:type="dxa"/>
            <w:tcBorders>
              <w:top w:val="single" w:sz="8" w:space="0" w:color="auto"/>
              <w:left w:val="nil"/>
              <w:bottom w:val="single" w:sz="8" w:space="0" w:color="auto"/>
              <w:right w:val="nil"/>
            </w:tcBorders>
            <w:noWrap/>
            <w:vAlign w:val="bottom"/>
            <w:hideMark/>
          </w:tcPr>
          <w:p w14:paraId="00C8A448" w14:textId="428FE6FF"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501</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788</w:t>
            </w:r>
          </w:p>
        </w:tc>
        <w:tc>
          <w:tcPr>
            <w:tcW w:w="1080" w:type="dxa"/>
            <w:tcBorders>
              <w:top w:val="single" w:sz="8" w:space="0" w:color="auto"/>
              <w:left w:val="nil"/>
              <w:bottom w:val="single" w:sz="8" w:space="0" w:color="auto"/>
              <w:right w:val="nil"/>
            </w:tcBorders>
            <w:noWrap/>
            <w:vAlign w:val="bottom"/>
            <w:hideMark/>
          </w:tcPr>
          <w:p w14:paraId="2C530D23" w14:textId="2879DB27" w:rsidR="00EC5BF0" w:rsidRPr="00FC22AA" w:rsidRDefault="00EC5BF0" w:rsidP="00EC5BF0">
            <w:pPr>
              <w:widowControl w:val="0"/>
              <w:spacing w:after="0" w:line="240" w:lineRule="auto"/>
              <w:ind w:right="113"/>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-64</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409</w:t>
            </w:r>
          </w:p>
        </w:tc>
        <w:tc>
          <w:tcPr>
            <w:tcW w:w="1080" w:type="dxa"/>
            <w:tcBorders>
              <w:top w:val="single" w:sz="8" w:space="0" w:color="auto"/>
              <w:left w:val="nil"/>
              <w:bottom w:val="single" w:sz="8" w:space="0" w:color="auto"/>
              <w:right w:val="nil"/>
            </w:tcBorders>
            <w:noWrap/>
            <w:vAlign w:val="bottom"/>
            <w:hideMark/>
          </w:tcPr>
          <w:p w14:paraId="092BCD4A" w14:textId="10492088" w:rsidR="00EC5BF0" w:rsidRPr="00FC22AA" w:rsidRDefault="00EC5BF0" w:rsidP="00EC5BF0">
            <w:pPr>
              <w:widowControl w:val="0"/>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-12</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8</w:t>
            </w:r>
          </w:p>
        </w:tc>
      </w:tr>
      <w:bookmarkEnd w:id="4"/>
    </w:tbl>
    <w:p w14:paraId="14BA0A0F" w14:textId="77777777" w:rsidR="00372E4E" w:rsidRPr="00FC22AA" w:rsidRDefault="00372E4E" w:rsidP="004C3BD3">
      <w:pPr>
        <w:widowControl w:val="0"/>
        <w:autoSpaceDE w:val="0"/>
        <w:autoSpaceDN w:val="0"/>
        <w:spacing w:after="0" w:line="240" w:lineRule="auto"/>
        <w:rPr>
          <w:b/>
          <w:bCs/>
          <w:u w:val="single"/>
          <w:lang w:val="en-GB"/>
        </w:rPr>
      </w:pPr>
    </w:p>
    <w:p w14:paraId="1DDFAF2F" w14:textId="77777777" w:rsidR="00182AF5" w:rsidRPr="00FC22AA" w:rsidRDefault="00182AF5" w:rsidP="00182AF5">
      <w:pPr>
        <w:widowControl w:val="0"/>
        <w:autoSpaceDE w:val="0"/>
        <w:autoSpaceDN w:val="0"/>
        <w:spacing w:after="0" w:line="240" w:lineRule="auto"/>
        <w:rPr>
          <w:rFonts w:cstheme="minorHAnsi"/>
          <w:lang w:val="en-GB"/>
        </w:rPr>
      </w:pPr>
    </w:p>
    <w:p w14:paraId="01F6F91C" w14:textId="77777777" w:rsidR="00EC5BF0" w:rsidRPr="00FC22AA" w:rsidRDefault="00EC5BF0" w:rsidP="00EC5BF0">
      <w:pPr>
        <w:autoSpaceDE w:val="0"/>
        <w:autoSpaceDN w:val="0"/>
        <w:spacing w:after="0" w:line="240" w:lineRule="auto"/>
        <w:rPr>
          <w:rFonts w:cstheme="minorHAnsi"/>
          <w:b/>
          <w:bCs/>
          <w:u w:val="single"/>
          <w:lang w:val="en-GB"/>
        </w:rPr>
      </w:pPr>
      <w:r w:rsidRPr="00FC22AA">
        <w:rPr>
          <w:rFonts w:cstheme="minorHAnsi"/>
          <w:b/>
          <w:bCs/>
          <w:u w:val="single"/>
          <w:lang w:val="en-GB"/>
        </w:rPr>
        <w:t>DETAIL OF NET FINANCIAL DEBT</w:t>
      </w:r>
    </w:p>
    <w:p w14:paraId="18B493FD" w14:textId="77777777" w:rsidR="007F7646" w:rsidRPr="00FC22AA" w:rsidRDefault="007F7646" w:rsidP="007D0C9A">
      <w:pPr>
        <w:keepNext/>
        <w:keepLines/>
        <w:autoSpaceDE w:val="0"/>
        <w:autoSpaceDN w:val="0"/>
        <w:spacing w:after="0" w:line="240" w:lineRule="auto"/>
        <w:rPr>
          <w:lang w:val="en-GB"/>
        </w:rPr>
      </w:pPr>
    </w:p>
    <w:tbl>
      <w:tblPr>
        <w:tblW w:w="8498" w:type="dxa"/>
        <w:tblCellMar>
          <w:left w:w="70" w:type="dxa"/>
          <w:right w:w="70" w:type="dxa"/>
        </w:tblCellMar>
        <w:tblLook w:val="04A0" w:firstRow="1" w:lastRow="0" w:firstColumn="1" w:lastColumn="0" w:noHBand="0" w:noVBand="1"/>
      </w:tblPr>
      <w:tblGrid>
        <w:gridCol w:w="4186"/>
        <w:gridCol w:w="1078"/>
        <w:gridCol w:w="1078"/>
        <w:gridCol w:w="1078"/>
        <w:gridCol w:w="1078"/>
      </w:tblGrid>
      <w:tr w:rsidR="00436EA2" w:rsidRPr="00FC22AA" w14:paraId="5244371C" w14:textId="77777777" w:rsidTr="007F622A">
        <w:trPr>
          <w:trHeight w:val="57"/>
        </w:trPr>
        <w:tc>
          <w:tcPr>
            <w:tcW w:w="4186" w:type="dxa"/>
            <w:tcBorders>
              <w:top w:val="nil"/>
              <w:left w:val="nil"/>
              <w:bottom w:val="single" w:sz="8" w:space="0" w:color="auto"/>
              <w:right w:val="nil"/>
            </w:tcBorders>
            <w:noWrap/>
            <w:vAlign w:val="bottom"/>
            <w:hideMark/>
          </w:tcPr>
          <w:p w14:paraId="7182CB6D" w14:textId="2AD6409C" w:rsidR="00436EA2" w:rsidRPr="00FC22AA" w:rsidRDefault="007F7646" w:rsidP="007D0C9A">
            <w:pPr>
              <w:keepNext/>
              <w:keepLines/>
              <w:spacing w:after="0" w:line="240" w:lineRule="auto"/>
              <w:rPr>
                <w:rFonts w:ascii="Calibri" w:eastAsia="Times New Roman" w:hAnsi="Calibri" w:cs="Calibri"/>
                <w:b/>
                <w:bCs/>
                <w:lang w:val="en-GB" w:eastAsia="es-ES"/>
              </w:rPr>
            </w:pPr>
            <w:bookmarkStart w:id="5" w:name="_Hlk211621698"/>
            <w:r w:rsidRPr="00FC22AA">
              <w:rPr>
                <w:rFonts w:ascii="Calibri" w:eastAsia="Times New Roman" w:hAnsi="Calibri" w:cs="Calibri"/>
                <w:b/>
                <w:bCs/>
                <w:lang w:val="en-GB" w:eastAsia="es-ES"/>
              </w:rPr>
              <w:t>Thousands of euros</w:t>
            </w:r>
          </w:p>
        </w:tc>
        <w:tc>
          <w:tcPr>
            <w:tcW w:w="1078" w:type="dxa"/>
            <w:tcBorders>
              <w:top w:val="nil"/>
              <w:left w:val="nil"/>
              <w:bottom w:val="single" w:sz="8" w:space="0" w:color="auto"/>
              <w:right w:val="nil"/>
            </w:tcBorders>
            <w:vAlign w:val="bottom"/>
            <w:hideMark/>
          </w:tcPr>
          <w:p w14:paraId="41C30A16" w14:textId="2AB26DF4" w:rsidR="00436EA2" w:rsidRPr="00FC22AA" w:rsidRDefault="00436EA2" w:rsidP="007D0C9A">
            <w:pPr>
              <w:keepNext/>
              <w:keepLines/>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3</w:t>
            </w:r>
            <w:r w:rsidR="00B51F27" w:rsidRPr="00FC22AA">
              <w:rPr>
                <w:rFonts w:ascii="Calibri" w:eastAsia="Times New Roman" w:hAnsi="Calibri" w:cs="Calibri"/>
                <w:b/>
                <w:bCs/>
                <w:lang w:val="en-GB" w:eastAsia="es-ES"/>
              </w:rPr>
              <w:t>1</w:t>
            </w:r>
            <w:r w:rsidRPr="00FC22AA">
              <w:rPr>
                <w:rFonts w:ascii="Calibri" w:eastAsia="Times New Roman" w:hAnsi="Calibri" w:cs="Calibri"/>
                <w:b/>
                <w:bCs/>
                <w:lang w:val="en-GB" w:eastAsia="es-ES"/>
              </w:rPr>
              <w:t>-</w:t>
            </w:r>
            <w:r w:rsidR="00B51F27" w:rsidRPr="00FC22AA">
              <w:rPr>
                <w:rFonts w:ascii="Calibri" w:eastAsia="Times New Roman" w:hAnsi="Calibri" w:cs="Calibri"/>
                <w:b/>
                <w:bCs/>
                <w:lang w:val="en-GB" w:eastAsia="es-ES"/>
              </w:rPr>
              <w:t>12</w:t>
            </w:r>
            <w:r w:rsidRPr="00FC22AA">
              <w:rPr>
                <w:rFonts w:ascii="Calibri" w:eastAsia="Times New Roman" w:hAnsi="Calibri" w:cs="Calibri"/>
                <w:b/>
                <w:bCs/>
                <w:lang w:val="en-GB" w:eastAsia="es-ES"/>
              </w:rPr>
              <w:t>-25</w:t>
            </w:r>
          </w:p>
        </w:tc>
        <w:tc>
          <w:tcPr>
            <w:tcW w:w="1078" w:type="dxa"/>
            <w:tcBorders>
              <w:top w:val="nil"/>
              <w:left w:val="nil"/>
              <w:bottom w:val="single" w:sz="8" w:space="0" w:color="auto"/>
              <w:right w:val="nil"/>
            </w:tcBorders>
            <w:vAlign w:val="bottom"/>
            <w:hideMark/>
          </w:tcPr>
          <w:p w14:paraId="7266C0A3" w14:textId="40594491" w:rsidR="00436EA2" w:rsidRPr="00FC22AA" w:rsidRDefault="00436EA2" w:rsidP="007D0C9A">
            <w:pPr>
              <w:keepNext/>
              <w:keepLines/>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31-12-24</w:t>
            </w:r>
          </w:p>
        </w:tc>
        <w:tc>
          <w:tcPr>
            <w:tcW w:w="1078" w:type="dxa"/>
            <w:tcBorders>
              <w:top w:val="nil"/>
              <w:left w:val="nil"/>
              <w:bottom w:val="single" w:sz="8" w:space="0" w:color="auto"/>
              <w:right w:val="nil"/>
            </w:tcBorders>
            <w:vAlign w:val="bottom"/>
            <w:hideMark/>
          </w:tcPr>
          <w:p w14:paraId="6AF91477" w14:textId="73A07753" w:rsidR="00436EA2" w:rsidRPr="00FC22AA" w:rsidRDefault="007F7646" w:rsidP="007D0C9A">
            <w:pPr>
              <w:keepNext/>
              <w:keepLines/>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Change</w:t>
            </w:r>
          </w:p>
        </w:tc>
        <w:tc>
          <w:tcPr>
            <w:tcW w:w="1078" w:type="dxa"/>
            <w:tcBorders>
              <w:top w:val="nil"/>
              <w:left w:val="nil"/>
              <w:bottom w:val="single" w:sz="8" w:space="0" w:color="auto"/>
              <w:right w:val="nil"/>
            </w:tcBorders>
            <w:vAlign w:val="bottom"/>
            <w:hideMark/>
          </w:tcPr>
          <w:p w14:paraId="7092FEC1" w14:textId="77777777" w:rsidR="00436EA2" w:rsidRPr="00FC22AA" w:rsidRDefault="00436EA2" w:rsidP="007D0C9A">
            <w:pPr>
              <w:keepNext/>
              <w:keepLines/>
              <w:spacing w:after="0" w:line="240" w:lineRule="auto"/>
              <w:jc w:val="center"/>
              <w:rPr>
                <w:rFonts w:ascii="Calibri" w:eastAsia="Times New Roman" w:hAnsi="Calibri" w:cs="Calibri"/>
                <w:b/>
                <w:bCs/>
                <w:lang w:val="en-GB" w:eastAsia="es-ES"/>
              </w:rPr>
            </w:pPr>
            <w:r w:rsidRPr="00FC22AA">
              <w:rPr>
                <w:rFonts w:ascii="Calibri" w:eastAsia="Times New Roman" w:hAnsi="Calibri" w:cs="Calibri"/>
                <w:b/>
                <w:bCs/>
                <w:lang w:val="en-GB" w:eastAsia="es-ES"/>
              </w:rPr>
              <w:t>%</w:t>
            </w:r>
          </w:p>
        </w:tc>
      </w:tr>
      <w:tr w:rsidR="004A5ADE" w:rsidRPr="00FC22AA" w14:paraId="37627C64" w14:textId="77777777" w:rsidTr="00126C64">
        <w:trPr>
          <w:trHeight w:val="57"/>
        </w:trPr>
        <w:tc>
          <w:tcPr>
            <w:tcW w:w="4186" w:type="dxa"/>
            <w:tcBorders>
              <w:top w:val="nil"/>
              <w:left w:val="nil"/>
              <w:right w:val="nil"/>
            </w:tcBorders>
            <w:noWrap/>
            <w:vAlign w:val="bottom"/>
          </w:tcPr>
          <w:p w14:paraId="1DCE237A" w14:textId="77777777" w:rsidR="004A5ADE" w:rsidRPr="00FC22AA" w:rsidRDefault="004A5ADE" w:rsidP="007D0C9A">
            <w:pPr>
              <w:keepNext/>
              <w:keepLines/>
              <w:spacing w:after="0" w:line="240" w:lineRule="auto"/>
              <w:rPr>
                <w:rFonts w:ascii="Calibri" w:eastAsia="Times New Roman" w:hAnsi="Calibri" w:cs="Calibri"/>
                <w:b/>
                <w:bCs/>
                <w:lang w:val="en-GB" w:eastAsia="es-ES"/>
              </w:rPr>
            </w:pPr>
          </w:p>
        </w:tc>
        <w:tc>
          <w:tcPr>
            <w:tcW w:w="1078" w:type="dxa"/>
            <w:tcBorders>
              <w:top w:val="nil"/>
              <w:left w:val="nil"/>
              <w:right w:val="nil"/>
            </w:tcBorders>
            <w:vAlign w:val="bottom"/>
          </w:tcPr>
          <w:p w14:paraId="0833BF03" w14:textId="77777777" w:rsidR="004A5ADE" w:rsidRPr="00FC22AA" w:rsidRDefault="004A5ADE" w:rsidP="007D0C9A">
            <w:pPr>
              <w:keepNext/>
              <w:keepLines/>
              <w:spacing w:after="0" w:line="240" w:lineRule="auto"/>
              <w:jc w:val="center"/>
              <w:rPr>
                <w:rFonts w:ascii="Calibri" w:eastAsia="Times New Roman" w:hAnsi="Calibri" w:cs="Calibri"/>
                <w:b/>
                <w:bCs/>
                <w:lang w:val="en-GB" w:eastAsia="es-ES"/>
              </w:rPr>
            </w:pPr>
          </w:p>
        </w:tc>
        <w:tc>
          <w:tcPr>
            <w:tcW w:w="1078" w:type="dxa"/>
            <w:tcBorders>
              <w:top w:val="nil"/>
              <w:left w:val="nil"/>
              <w:right w:val="nil"/>
            </w:tcBorders>
            <w:vAlign w:val="bottom"/>
          </w:tcPr>
          <w:p w14:paraId="443398B3" w14:textId="77777777" w:rsidR="004A5ADE" w:rsidRPr="00FC22AA" w:rsidRDefault="004A5ADE" w:rsidP="007D0C9A">
            <w:pPr>
              <w:keepNext/>
              <w:keepLines/>
              <w:spacing w:after="0" w:line="240" w:lineRule="auto"/>
              <w:jc w:val="center"/>
              <w:rPr>
                <w:rFonts w:ascii="Calibri" w:eastAsia="Times New Roman" w:hAnsi="Calibri" w:cs="Calibri"/>
                <w:b/>
                <w:bCs/>
                <w:lang w:val="en-GB" w:eastAsia="es-ES"/>
              </w:rPr>
            </w:pPr>
          </w:p>
        </w:tc>
        <w:tc>
          <w:tcPr>
            <w:tcW w:w="1078" w:type="dxa"/>
            <w:tcBorders>
              <w:top w:val="nil"/>
              <w:left w:val="nil"/>
              <w:right w:val="nil"/>
            </w:tcBorders>
            <w:vAlign w:val="bottom"/>
          </w:tcPr>
          <w:p w14:paraId="0A75F73A" w14:textId="77777777" w:rsidR="004A5ADE" w:rsidRPr="00FC22AA" w:rsidRDefault="004A5ADE" w:rsidP="007D0C9A">
            <w:pPr>
              <w:keepNext/>
              <w:keepLines/>
              <w:spacing w:after="0" w:line="240" w:lineRule="auto"/>
              <w:jc w:val="center"/>
              <w:rPr>
                <w:rFonts w:ascii="Calibri" w:eastAsia="Times New Roman" w:hAnsi="Calibri" w:cs="Calibri"/>
                <w:b/>
                <w:bCs/>
                <w:lang w:val="en-GB" w:eastAsia="es-ES"/>
              </w:rPr>
            </w:pPr>
          </w:p>
        </w:tc>
        <w:tc>
          <w:tcPr>
            <w:tcW w:w="1078" w:type="dxa"/>
            <w:tcBorders>
              <w:top w:val="nil"/>
              <w:left w:val="nil"/>
              <w:right w:val="nil"/>
            </w:tcBorders>
            <w:vAlign w:val="bottom"/>
          </w:tcPr>
          <w:p w14:paraId="6A9A2AA2" w14:textId="77777777" w:rsidR="004A5ADE" w:rsidRPr="00FC22AA" w:rsidRDefault="004A5ADE" w:rsidP="007D0C9A">
            <w:pPr>
              <w:keepNext/>
              <w:keepLines/>
              <w:spacing w:after="0" w:line="240" w:lineRule="auto"/>
              <w:jc w:val="center"/>
              <w:rPr>
                <w:rFonts w:ascii="Calibri" w:eastAsia="Times New Roman" w:hAnsi="Calibri" w:cs="Calibri"/>
                <w:b/>
                <w:bCs/>
                <w:lang w:val="en-GB" w:eastAsia="es-ES"/>
              </w:rPr>
            </w:pPr>
          </w:p>
        </w:tc>
      </w:tr>
      <w:tr w:rsidR="004F4F9D" w:rsidRPr="00FC22AA" w14:paraId="494F78D6" w14:textId="77777777" w:rsidTr="007F622A">
        <w:trPr>
          <w:trHeight w:val="57"/>
        </w:trPr>
        <w:tc>
          <w:tcPr>
            <w:tcW w:w="4186" w:type="dxa"/>
            <w:tcBorders>
              <w:top w:val="nil"/>
              <w:left w:val="nil"/>
              <w:bottom w:val="nil"/>
              <w:right w:val="nil"/>
            </w:tcBorders>
            <w:noWrap/>
            <w:vAlign w:val="bottom"/>
            <w:hideMark/>
          </w:tcPr>
          <w:p w14:paraId="1E0316E6" w14:textId="4FF46F56" w:rsidR="004F4F9D" w:rsidRPr="00FC22AA" w:rsidRDefault="004F4F9D" w:rsidP="004F4F9D">
            <w:pPr>
              <w:keepNext/>
              <w:keepLines/>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Loans</w:t>
            </w:r>
          </w:p>
        </w:tc>
        <w:tc>
          <w:tcPr>
            <w:tcW w:w="1078" w:type="dxa"/>
            <w:tcBorders>
              <w:top w:val="nil"/>
              <w:left w:val="nil"/>
              <w:bottom w:val="nil"/>
              <w:right w:val="nil"/>
            </w:tcBorders>
            <w:noWrap/>
            <w:vAlign w:val="bottom"/>
            <w:hideMark/>
          </w:tcPr>
          <w:p w14:paraId="77923457" w14:textId="5804D967"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88</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446</w:t>
            </w:r>
          </w:p>
        </w:tc>
        <w:tc>
          <w:tcPr>
            <w:tcW w:w="1078" w:type="dxa"/>
            <w:tcBorders>
              <w:top w:val="nil"/>
              <w:left w:val="nil"/>
              <w:bottom w:val="nil"/>
              <w:right w:val="nil"/>
            </w:tcBorders>
            <w:noWrap/>
            <w:vAlign w:val="bottom"/>
            <w:hideMark/>
          </w:tcPr>
          <w:p w14:paraId="3EEEF60D" w14:textId="3DB26199"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91</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013</w:t>
            </w:r>
          </w:p>
        </w:tc>
        <w:tc>
          <w:tcPr>
            <w:tcW w:w="1078" w:type="dxa"/>
            <w:tcBorders>
              <w:top w:val="nil"/>
              <w:left w:val="nil"/>
              <w:bottom w:val="nil"/>
              <w:right w:val="nil"/>
            </w:tcBorders>
            <w:noWrap/>
            <w:vAlign w:val="bottom"/>
            <w:hideMark/>
          </w:tcPr>
          <w:p w14:paraId="706221B8" w14:textId="47E9F990"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-2</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567</w:t>
            </w:r>
          </w:p>
        </w:tc>
        <w:tc>
          <w:tcPr>
            <w:tcW w:w="1078" w:type="dxa"/>
            <w:tcBorders>
              <w:top w:val="nil"/>
              <w:left w:val="nil"/>
              <w:bottom w:val="nil"/>
              <w:right w:val="nil"/>
            </w:tcBorders>
            <w:noWrap/>
            <w:vAlign w:val="bottom"/>
            <w:hideMark/>
          </w:tcPr>
          <w:p w14:paraId="7FB4773E" w14:textId="03AB457F" w:rsidR="004F4F9D" w:rsidRPr="00FC22AA" w:rsidRDefault="004F4F9D" w:rsidP="004F4F9D">
            <w:pPr>
              <w:keepNext/>
              <w:keepLines/>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-2</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8</w:t>
            </w:r>
          </w:p>
        </w:tc>
      </w:tr>
      <w:tr w:rsidR="004F4F9D" w:rsidRPr="00FC22AA" w14:paraId="279BC9A4" w14:textId="77777777" w:rsidTr="007F622A">
        <w:trPr>
          <w:trHeight w:val="57"/>
        </w:trPr>
        <w:tc>
          <w:tcPr>
            <w:tcW w:w="4186" w:type="dxa"/>
            <w:tcBorders>
              <w:top w:val="nil"/>
              <w:left w:val="nil"/>
              <w:bottom w:val="nil"/>
              <w:right w:val="nil"/>
            </w:tcBorders>
            <w:noWrap/>
            <w:vAlign w:val="bottom"/>
            <w:hideMark/>
          </w:tcPr>
          <w:p w14:paraId="08DB9891" w14:textId="5205766E" w:rsidR="004F4F9D" w:rsidRPr="00FC22AA" w:rsidRDefault="004F4F9D" w:rsidP="004F4F9D">
            <w:pPr>
              <w:keepNext/>
              <w:keepLines/>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Lease creditors</w:t>
            </w:r>
          </w:p>
        </w:tc>
        <w:tc>
          <w:tcPr>
            <w:tcW w:w="1078" w:type="dxa"/>
            <w:tcBorders>
              <w:top w:val="nil"/>
              <w:left w:val="nil"/>
              <w:bottom w:val="nil"/>
              <w:right w:val="nil"/>
            </w:tcBorders>
            <w:noWrap/>
            <w:vAlign w:val="bottom"/>
            <w:hideMark/>
          </w:tcPr>
          <w:p w14:paraId="6B789896" w14:textId="0CA32A28"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12</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101</w:t>
            </w:r>
          </w:p>
        </w:tc>
        <w:tc>
          <w:tcPr>
            <w:tcW w:w="1078" w:type="dxa"/>
            <w:tcBorders>
              <w:top w:val="nil"/>
              <w:left w:val="nil"/>
              <w:bottom w:val="nil"/>
              <w:right w:val="nil"/>
            </w:tcBorders>
            <w:noWrap/>
            <w:vAlign w:val="bottom"/>
            <w:hideMark/>
          </w:tcPr>
          <w:p w14:paraId="0C82AF40" w14:textId="6DCF5480"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13</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982</w:t>
            </w:r>
          </w:p>
        </w:tc>
        <w:tc>
          <w:tcPr>
            <w:tcW w:w="1078" w:type="dxa"/>
            <w:tcBorders>
              <w:top w:val="nil"/>
              <w:left w:val="nil"/>
              <w:bottom w:val="nil"/>
              <w:right w:val="nil"/>
            </w:tcBorders>
            <w:noWrap/>
            <w:vAlign w:val="bottom"/>
            <w:hideMark/>
          </w:tcPr>
          <w:p w14:paraId="0C89EE5D" w14:textId="31A1B354"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-1</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881</w:t>
            </w:r>
          </w:p>
        </w:tc>
        <w:tc>
          <w:tcPr>
            <w:tcW w:w="1078" w:type="dxa"/>
            <w:tcBorders>
              <w:top w:val="nil"/>
              <w:left w:val="nil"/>
              <w:bottom w:val="nil"/>
              <w:right w:val="nil"/>
            </w:tcBorders>
            <w:noWrap/>
            <w:vAlign w:val="bottom"/>
            <w:hideMark/>
          </w:tcPr>
          <w:p w14:paraId="228A1D89" w14:textId="7825683B" w:rsidR="004F4F9D" w:rsidRPr="00FC22AA" w:rsidRDefault="004F4F9D" w:rsidP="004F4F9D">
            <w:pPr>
              <w:keepNext/>
              <w:keepLines/>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-13</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5</w:t>
            </w:r>
          </w:p>
        </w:tc>
      </w:tr>
      <w:tr w:rsidR="004F4F9D" w:rsidRPr="00FC22AA" w14:paraId="60104D63" w14:textId="77777777" w:rsidTr="00126C64">
        <w:trPr>
          <w:trHeight w:val="57"/>
        </w:trPr>
        <w:tc>
          <w:tcPr>
            <w:tcW w:w="4186" w:type="dxa"/>
            <w:tcBorders>
              <w:top w:val="nil"/>
              <w:left w:val="nil"/>
              <w:right w:val="nil"/>
            </w:tcBorders>
            <w:noWrap/>
            <w:vAlign w:val="bottom"/>
            <w:hideMark/>
          </w:tcPr>
          <w:p w14:paraId="1E936D40" w14:textId="4B0F2C28" w:rsidR="004F4F9D" w:rsidRPr="00FC22AA" w:rsidRDefault="004F4F9D" w:rsidP="004F4F9D">
            <w:pPr>
              <w:keepNext/>
              <w:keepLines/>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 xml:space="preserve">Revolving financing </w:t>
            </w:r>
          </w:p>
        </w:tc>
        <w:tc>
          <w:tcPr>
            <w:tcW w:w="1078" w:type="dxa"/>
            <w:tcBorders>
              <w:top w:val="nil"/>
              <w:left w:val="nil"/>
              <w:right w:val="nil"/>
            </w:tcBorders>
            <w:noWrap/>
            <w:vAlign w:val="bottom"/>
            <w:hideMark/>
          </w:tcPr>
          <w:p w14:paraId="18D2ED78" w14:textId="1E2925D9"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122</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510</w:t>
            </w:r>
          </w:p>
        </w:tc>
        <w:tc>
          <w:tcPr>
            <w:tcW w:w="1078" w:type="dxa"/>
            <w:tcBorders>
              <w:top w:val="nil"/>
              <w:left w:val="nil"/>
              <w:right w:val="nil"/>
            </w:tcBorders>
            <w:noWrap/>
            <w:vAlign w:val="bottom"/>
            <w:hideMark/>
          </w:tcPr>
          <w:p w14:paraId="6EECD76D" w14:textId="5C8315B4"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67</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340</w:t>
            </w:r>
          </w:p>
        </w:tc>
        <w:tc>
          <w:tcPr>
            <w:tcW w:w="1078" w:type="dxa"/>
            <w:tcBorders>
              <w:top w:val="nil"/>
              <w:left w:val="nil"/>
              <w:right w:val="nil"/>
            </w:tcBorders>
            <w:noWrap/>
            <w:vAlign w:val="bottom"/>
            <w:hideMark/>
          </w:tcPr>
          <w:p w14:paraId="0F1171B4" w14:textId="7831973F"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55</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170</w:t>
            </w:r>
          </w:p>
        </w:tc>
        <w:tc>
          <w:tcPr>
            <w:tcW w:w="1078" w:type="dxa"/>
            <w:tcBorders>
              <w:top w:val="nil"/>
              <w:left w:val="nil"/>
              <w:right w:val="nil"/>
            </w:tcBorders>
            <w:noWrap/>
            <w:vAlign w:val="bottom"/>
            <w:hideMark/>
          </w:tcPr>
          <w:p w14:paraId="2B43B8AB" w14:textId="3C589433" w:rsidR="004F4F9D" w:rsidRPr="00FC22AA" w:rsidRDefault="004F4F9D" w:rsidP="004F4F9D">
            <w:pPr>
              <w:keepNext/>
              <w:keepLines/>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81</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9</w:t>
            </w:r>
          </w:p>
        </w:tc>
      </w:tr>
      <w:tr w:rsidR="00436EA2" w:rsidRPr="00FC22AA" w14:paraId="072589BE" w14:textId="77777777" w:rsidTr="00126C64">
        <w:trPr>
          <w:trHeight w:val="57"/>
        </w:trPr>
        <w:tc>
          <w:tcPr>
            <w:tcW w:w="4186" w:type="dxa"/>
            <w:tcBorders>
              <w:top w:val="nil"/>
              <w:left w:val="nil"/>
              <w:bottom w:val="single" w:sz="4" w:space="0" w:color="auto"/>
              <w:right w:val="nil"/>
            </w:tcBorders>
            <w:noWrap/>
            <w:vAlign w:val="bottom"/>
            <w:hideMark/>
          </w:tcPr>
          <w:p w14:paraId="6C75C3ED" w14:textId="7653AF97" w:rsidR="00436EA2" w:rsidRPr="00FC22AA" w:rsidRDefault="004F4F9D" w:rsidP="007D0C9A">
            <w:pPr>
              <w:keepNext/>
              <w:keepLines/>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Gross financial debt</w:t>
            </w:r>
          </w:p>
        </w:tc>
        <w:tc>
          <w:tcPr>
            <w:tcW w:w="1078" w:type="dxa"/>
            <w:tcBorders>
              <w:top w:val="nil"/>
              <w:left w:val="nil"/>
              <w:bottom w:val="single" w:sz="4" w:space="0" w:color="auto"/>
              <w:right w:val="nil"/>
            </w:tcBorders>
            <w:noWrap/>
            <w:vAlign w:val="bottom"/>
            <w:hideMark/>
          </w:tcPr>
          <w:p w14:paraId="7CEA49B0" w14:textId="6A738B2B" w:rsidR="00436EA2" w:rsidRPr="00FC22AA" w:rsidRDefault="00436EA2" w:rsidP="007D0C9A">
            <w:pPr>
              <w:keepNext/>
              <w:keepLines/>
              <w:spacing w:after="0" w:line="240" w:lineRule="auto"/>
              <w:ind w:right="170"/>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2</w:t>
            </w:r>
            <w:r w:rsidR="00B51F27" w:rsidRPr="00FC22AA">
              <w:rPr>
                <w:rFonts w:ascii="Calibri" w:eastAsia="Times New Roman" w:hAnsi="Calibri" w:cs="Calibri"/>
                <w:b/>
                <w:bCs/>
                <w:lang w:val="en-GB" w:eastAsia="es-ES"/>
              </w:rPr>
              <w:t>23</w:t>
            </w:r>
            <w:r w:rsidR="00EA6855" w:rsidRPr="00FC22AA">
              <w:rPr>
                <w:rFonts w:ascii="Calibri" w:eastAsia="Times New Roman" w:hAnsi="Calibri" w:cs="Calibri"/>
                <w:b/>
                <w:bCs/>
                <w:lang w:val="en-GB" w:eastAsia="es-ES"/>
              </w:rPr>
              <w:t>,</w:t>
            </w:r>
            <w:r w:rsidR="00B51F27" w:rsidRPr="00FC22AA">
              <w:rPr>
                <w:rFonts w:ascii="Calibri" w:eastAsia="Times New Roman" w:hAnsi="Calibri" w:cs="Calibri"/>
                <w:b/>
                <w:bCs/>
                <w:lang w:val="en-GB" w:eastAsia="es-ES"/>
              </w:rPr>
              <w:t>057</w:t>
            </w:r>
          </w:p>
        </w:tc>
        <w:tc>
          <w:tcPr>
            <w:tcW w:w="1078" w:type="dxa"/>
            <w:tcBorders>
              <w:top w:val="nil"/>
              <w:left w:val="nil"/>
              <w:bottom w:val="single" w:sz="4" w:space="0" w:color="auto"/>
              <w:right w:val="nil"/>
            </w:tcBorders>
            <w:noWrap/>
            <w:vAlign w:val="bottom"/>
            <w:hideMark/>
          </w:tcPr>
          <w:p w14:paraId="4319E909" w14:textId="685FE298" w:rsidR="00436EA2" w:rsidRPr="00FC22AA" w:rsidRDefault="00436EA2" w:rsidP="007D0C9A">
            <w:pPr>
              <w:keepNext/>
              <w:keepLines/>
              <w:spacing w:after="0" w:line="240" w:lineRule="auto"/>
              <w:ind w:right="170"/>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172</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335</w:t>
            </w:r>
          </w:p>
        </w:tc>
        <w:tc>
          <w:tcPr>
            <w:tcW w:w="1078" w:type="dxa"/>
            <w:tcBorders>
              <w:top w:val="nil"/>
              <w:left w:val="nil"/>
              <w:bottom w:val="single" w:sz="4" w:space="0" w:color="auto"/>
              <w:right w:val="nil"/>
            </w:tcBorders>
            <w:noWrap/>
            <w:vAlign w:val="bottom"/>
            <w:hideMark/>
          </w:tcPr>
          <w:p w14:paraId="540DE119" w14:textId="1EA9A1DC" w:rsidR="00436EA2" w:rsidRPr="00FC22AA" w:rsidRDefault="00B51F27" w:rsidP="007D0C9A">
            <w:pPr>
              <w:keepNext/>
              <w:keepLines/>
              <w:spacing w:after="0" w:line="240" w:lineRule="auto"/>
              <w:ind w:right="170"/>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50</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722</w:t>
            </w:r>
          </w:p>
        </w:tc>
        <w:tc>
          <w:tcPr>
            <w:tcW w:w="1078" w:type="dxa"/>
            <w:tcBorders>
              <w:top w:val="nil"/>
              <w:left w:val="nil"/>
              <w:bottom w:val="single" w:sz="4" w:space="0" w:color="auto"/>
              <w:right w:val="nil"/>
            </w:tcBorders>
            <w:noWrap/>
            <w:vAlign w:val="bottom"/>
            <w:hideMark/>
          </w:tcPr>
          <w:p w14:paraId="33816C53" w14:textId="2E3F0B43" w:rsidR="00436EA2" w:rsidRPr="00FC22AA" w:rsidRDefault="00436EA2" w:rsidP="007D0C9A">
            <w:pPr>
              <w:keepNext/>
              <w:keepLines/>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2</w:t>
            </w:r>
            <w:r w:rsidR="00B51F27" w:rsidRPr="00FC22AA">
              <w:rPr>
                <w:rFonts w:ascii="Calibri" w:eastAsia="Times New Roman" w:hAnsi="Calibri" w:cs="Calibri"/>
                <w:b/>
                <w:bCs/>
                <w:lang w:val="en-GB" w:eastAsia="es-ES"/>
              </w:rPr>
              <w:t>9</w:t>
            </w:r>
            <w:r w:rsidR="00EA6855" w:rsidRPr="00FC22AA">
              <w:rPr>
                <w:rFonts w:ascii="Calibri" w:eastAsia="Times New Roman" w:hAnsi="Calibri" w:cs="Calibri"/>
                <w:b/>
                <w:bCs/>
                <w:lang w:val="en-GB" w:eastAsia="es-ES"/>
              </w:rPr>
              <w:t>.</w:t>
            </w:r>
            <w:r w:rsidR="00B51F27" w:rsidRPr="00FC22AA">
              <w:rPr>
                <w:rFonts w:ascii="Calibri" w:eastAsia="Times New Roman" w:hAnsi="Calibri" w:cs="Calibri"/>
                <w:b/>
                <w:bCs/>
                <w:lang w:val="en-GB" w:eastAsia="es-ES"/>
              </w:rPr>
              <w:t>4</w:t>
            </w:r>
          </w:p>
        </w:tc>
      </w:tr>
      <w:tr w:rsidR="004F4F9D" w:rsidRPr="00FC22AA" w14:paraId="6A5F05C5" w14:textId="77777777" w:rsidTr="00126C64">
        <w:trPr>
          <w:trHeight w:val="57"/>
        </w:trPr>
        <w:tc>
          <w:tcPr>
            <w:tcW w:w="4186" w:type="dxa"/>
            <w:tcBorders>
              <w:top w:val="single" w:sz="4" w:space="0" w:color="auto"/>
              <w:left w:val="nil"/>
              <w:right w:val="nil"/>
            </w:tcBorders>
            <w:noWrap/>
            <w:vAlign w:val="bottom"/>
            <w:hideMark/>
          </w:tcPr>
          <w:p w14:paraId="4621EC7B" w14:textId="02C0E208" w:rsidR="004F4F9D" w:rsidRPr="00FC22AA" w:rsidRDefault="004F4F9D" w:rsidP="004F4F9D">
            <w:pPr>
              <w:keepNext/>
              <w:keepLines/>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Treasury</w:t>
            </w:r>
          </w:p>
        </w:tc>
        <w:tc>
          <w:tcPr>
            <w:tcW w:w="1078" w:type="dxa"/>
            <w:tcBorders>
              <w:top w:val="single" w:sz="4" w:space="0" w:color="auto"/>
              <w:left w:val="nil"/>
              <w:right w:val="nil"/>
            </w:tcBorders>
            <w:noWrap/>
            <w:vAlign w:val="bottom"/>
            <w:hideMark/>
          </w:tcPr>
          <w:p w14:paraId="1E79F5D7" w14:textId="3506EA57"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-96</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029</w:t>
            </w:r>
          </w:p>
        </w:tc>
        <w:tc>
          <w:tcPr>
            <w:tcW w:w="1078" w:type="dxa"/>
            <w:tcBorders>
              <w:top w:val="single" w:sz="4" w:space="0" w:color="auto"/>
              <w:left w:val="nil"/>
              <w:right w:val="nil"/>
            </w:tcBorders>
            <w:noWrap/>
            <w:vAlign w:val="bottom"/>
            <w:hideMark/>
          </w:tcPr>
          <w:p w14:paraId="47D8F3B3" w14:textId="1F4D0DBE"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-36</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729</w:t>
            </w:r>
          </w:p>
        </w:tc>
        <w:tc>
          <w:tcPr>
            <w:tcW w:w="1078" w:type="dxa"/>
            <w:tcBorders>
              <w:top w:val="single" w:sz="4" w:space="0" w:color="auto"/>
              <w:left w:val="nil"/>
              <w:right w:val="nil"/>
            </w:tcBorders>
            <w:noWrap/>
            <w:vAlign w:val="bottom"/>
            <w:hideMark/>
          </w:tcPr>
          <w:p w14:paraId="6909F583" w14:textId="40F9D70C"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-59</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300</w:t>
            </w:r>
          </w:p>
        </w:tc>
        <w:tc>
          <w:tcPr>
            <w:tcW w:w="1078" w:type="dxa"/>
            <w:tcBorders>
              <w:top w:val="single" w:sz="4" w:space="0" w:color="auto"/>
              <w:left w:val="nil"/>
              <w:right w:val="nil"/>
            </w:tcBorders>
            <w:noWrap/>
            <w:vAlign w:val="bottom"/>
            <w:hideMark/>
          </w:tcPr>
          <w:p w14:paraId="3E1C9A7A" w14:textId="66E118A2" w:rsidR="004F4F9D" w:rsidRPr="00FC22AA" w:rsidRDefault="004F4F9D" w:rsidP="004F4F9D">
            <w:pPr>
              <w:keepNext/>
              <w:keepLines/>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161</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5</w:t>
            </w:r>
          </w:p>
        </w:tc>
      </w:tr>
      <w:tr w:rsidR="004F4F9D" w:rsidRPr="00FC22AA" w14:paraId="253A3298" w14:textId="77777777" w:rsidTr="007F622A">
        <w:trPr>
          <w:trHeight w:val="57"/>
        </w:trPr>
        <w:tc>
          <w:tcPr>
            <w:tcW w:w="4186" w:type="dxa"/>
            <w:tcBorders>
              <w:top w:val="nil"/>
              <w:left w:val="nil"/>
              <w:right w:val="nil"/>
            </w:tcBorders>
            <w:noWrap/>
            <w:vAlign w:val="bottom"/>
            <w:hideMark/>
          </w:tcPr>
          <w:p w14:paraId="5A6D5365" w14:textId="2E5AF87C" w:rsidR="004F4F9D" w:rsidRPr="00FC22AA" w:rsidRDefault="004F4F9D" w:rsidP="004F4F9D">
            <w:pPr>
              <w:keepNext/>
              <w:keepLines/>
              <w:spacing w:after="0" w:line="240" w:lineRule="auto"/>
              <w:rPr>
                <w:rFonts w:ascii="Calibri" w:eastAsia="Times New Roman" w:hAnsi="Calibri" w:cs="Calibri"/>
                <w:lang w:val="en-GB" w:eastAsia="es-ES"/>
              </w:rPr>
            </w:pPr>
            <w:r w:rsidRPr="00FC22AA">
              <w:rPr>
                <w:rFonts w:ascii="Calibri" w:eastAsia="Times New Roman" w:hAnsi="Calibri" w:cs="Calibri"/>
                <w:lang w:val="en-GB" w:eastAsia="es-ES"/>
              </w:rPr>
              <w:t>Deposits</w:t>
            </w:r>
          </w:p>
        </w:tc>
        <w:tc>
          <w:tcPr>
            <w:tcW w:w="1078" w:type="dxa"/>
            <w:tcBorders>
              <w:top w:val="nil"/>
              <w:left w:val="nil"/>
              <w:right w:val="nil"/>
            </w:tcBorders>
            <w:noWrap/>
            <w:vAlign w:val="bottom"/>
            <w:hideMark/>
          </w:tcPr>
          <w:p w14:paraId="2F253B0F" w14:textId="7E99000E"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-2</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027</w:t>
            </w:r>
          </w:p>
        </w:tc>
        <w:tc>
          <w:tcPr>
            <w:tcW w:w="1078" w:type="dxa"/>
            <w:tcBorders>
              <w:top w:val="nil"/>
              <w:left w:val="nil"/>
              <w:right w:val="nil"/>
            </w:tcBorders>
            <w:noWrap/>
            <w:vAlign w:val="bottom"/>
            <w:hideMark/>
          </w:tcPr>
          <w:p w14:paraId="42578178" w14:textId="08EF37AF"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-2</w:t>
            </w:r>
            <w:r w:rsidR="00EA6855" w:rsidRPr="00FC22AA">
              <w:rPr>
                <w:rFonts w:ascii="Calibri" w:eastAsia="Times New Roman" w:hAnsi="Calibri" w:cs="Calibri"/>
                <w:lang w:val="en-GB" w:eastAsia="es-ES"/>
              </w:rPr>
              <w:t>,</w:t>
            </w:r>
            <w:r w:rsidRPr="00FC22AA">
              <w:rPr>
                <w:rFonts w:ascii="Calibri" w:eastAsia="Times New Roman" w:hAnsi="Calibri" w:cs="Calibri"/>
                <w:lang w:val="en-GB" w:eastAsia="es-ES"/>
              </w:rPr>
              <w:t>028</w:t>
            </w:r>
          </w:p>
        </w:tc>
        <w:tc>
          <w:tcPr>
            <w:tcW w:w="1078" w:type="dxa"/>
            <w:tcBorders>
              <w:top w:val="nil"/>
              <w:left w:val="nil"/>
              <w:right w:val="nil"/>
            </w:tcBorders>
            <w:noWrap/>
            <w:vAlign w:val="bottom"/>
            <w:hideMark/>
          </w:tcPr>
          <w:p w14:paraId="320EBC53" w14:textId="77777777" w:rsidR="004F4F9D" w:rsidRPr="00FC22AA" w:rsidRDefault="004F4F9D" w:rsidP="004F4F9D">
            <w:pPr>
              <w:keepNext/>
              <w:keepLines/>
              <w:spacing w:after="0" w:line="240" w:lineRule="auto"/>
              <w:ind w:right="170"/>
              <w:jc w:val="right"/>
              <w:rPr>
                <w:rFonts w:ascii="Calibri" w:eastAsia="Times New Roman" w:hAnsi="Calibri" w:cs="Calibri"/>
                <w:lang w:val="en-GB" w:eastAsia="es-ES"/>
              </w:rPr>
            </w:pPr>
            <w:r w:rsidRPr="00FC22AA">
              <w:rPr>
                <w:rFonts w:ascii="Calibri" w:eastAsia="Times New Roman" w:hAnsi="Calibri" w:cs="Calibri"/>
                <w:lang w:val="en-GB" w:eastAsia="es-ES"/>
              </w:rPr>
              <w:t>1</w:t>
            </w:r>
          </w:p>
        </w:tc>
        <w:tc>
          <w:tcPr>
            <w:tcW w:w="1078" w:type="dxa"/>
            <w:tcBorders>
              <w:top w:val="nil"/>
              <w:left w:val="nil"/>
              <w:right w:val="nil"/>
            </w:tcBorders>
            <w:noWrap/>
            <w:vAlign w:val="bottom"/>
            <w:hideMark/>
          </w:tcPr>
          <w:p w14:paraId="7A5B8CEC" w14:textId="77777777" w:rsidR="004F4F9D" w:rsidRPr="00FC22AA" w:rsidRDefault="004F4F9D" w:rsidP="004F4F9D">
            <w:pPr>
              <w:keepNext/>
              <w:keepLines/>
              <w:spacing w:after="0" w:line="240" w:lineRule="auto"/>
              <w:ind w:right="284"/>
              <w:jc w:val="right"/>
              <w:rPr>
                <w:rFonts w:ascii="Calibri" w:eastAsia="Times New Roman" w:hAnsi="Calibri" w:cs="Calibri"/>
                <w:lang w:val="en-GB" w:eastAsia="es-ES"/>
              </w:rPr>
            </w:pPr>
            <w:r w:rsidRPr="00FC22AA">
              <w:rPr>
                <w:rFonts w:ascii="Calibri" w:eastAsia="Times New Roman" w:hAnsi="Calibri" w:cs="Calibri"/>
                <w:lang w:val="en-GB" w:eastAsia="es-ES"/>
              </w:rPr>
              <w:t>-</w:t>
            </w:r>
          </w:p>
        </w:tc>
      </w:tr>
      <w:tr w:rsidR="004F4F9D" w:rsidRPr="00FC22AA" w14:paraId="0614F1B2" w14:textId="77777777" w:rsidTr="007F622A">
        <w:trPr>
          <w:trHeight w:val="57"/>
        </w:trPr>
        <w:tc>
          <w:tcPr>
            <w:tcW w:w="4186" w:type="dxa"/>
            <w:tcBorders>
              <w:top w:val="nil"/>
              <w:left w:val="nil"/>
              <w:bottom w:val="single" w:sz="8" w:space="0" w:color="auto"/>
              <w:right w:val="nil"/>
            </w:tcBorders>
            <w:noWrap/>
            <w:vAlign w:val="bottom"/>
            <w:hideMark/>
          </w:tcPr>
          <w:p w14:paraId="06AC8BCA" w14:textId="3253939A" w:rsidR="004F4F9D" w:rsidRPr="00FC22AA" w:rsidRDefault="004F4F9D" w:rsidP="004F4F9D">
            <w:pPr>
              <w:keepNext/>
              <w:keepLines/>
              <w:spacing w:after="0" w:line="240" w:lineRule="auto"/>
              <w:rPr>
                <w:rFonts w:ascii="Calibri" w:eastAsia="Times New Roman" w:hAnsi="Calibri" w:cs="Calibri"/>
                <w:b/>
                <w:bCs/>
                <w:lang w:val="en-GB" w:eastAsia="es-ES"/>
              </w:rPr>
            </w:pPr>
            <w:r w:rsidRPr="00FC22AA">
              <w:rPr>
                <w:rFonts w:ascii="Calibri" w:eastAsia="Times New Roman" w:hAnsi="Calibri" w:cs="Calibri"/>
                <w:b/>
                <w:bCs/>
                <w:lang w:val="en-GB" w:eastAsia="es-ES"/>
              </w:rPr>
              <w:t>Net financial debt</w:t>
            </w:r>
          </w:p>
        </w:tc>
        <w:tc>
          <w:tcPr>
            <w:tcW w:w="1078" w:type="dxa"/>
            <w:tcBorders>
              <w:top w:val="nil"/>
              <w:left w:val="nil"/>
              <w:bottom w:val="single" w:sz="8" w:space="0" w:color="auto"/>
              <w:right w:val="nil"/>
            </w:tcBorders>
            <w:noWrap/>
            <w:vAlign w:val="bottom"/>
            <w:hideMark/>
          </w:tcPr>
          <w:p w14:paraId="247B691A" w14:textId="691E5D43" w:rsidR="004F4F9D" w:rsidRPr="00FC22AA" w:rsidRDefault="004F4F9D" w:rsidP="004F4F9D">
            <w:pPr>
              <w:keepNext/>
              <w:keepLines/>
              <w:spacing w:after="0" w:line="240" w:lineRule="auto"/>
              <w:ind w:right="170"/>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125</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001</w:t>
            </w:r>
          </w:p>
        </w:tc>
        <w:tc>
          <w:tcPr>
            <w:tcW w:w="1078" w:type="dxa"/>
            <w:tcBorders>
              <w:top w:val="nil"/>
              <w:left w:val="nil"/>
              <w:bottom w:val="single" w:sz="8" w:space="0" w:color="auto"/>
              <w:right w:val="nil"/>
            </w:tcBorders>
            <w:noWrap/>
            <w:vAlign w:val="bottom"/>
            <w:hideMark/>
          </w:tcPr>
          <w:p w14:paraId="2D7BBE13" w14:textId="31269394" w:rsidR="004F4F9D" w:rsidRPr="00FC22AA" w:rsidRDefault="004F4F9D" w:rsidP="004F4F9D">
            <w:pPr>
              <w:keepNext/>
              <w:keepLines/>
              <w:spacing w:after="0" w:line="240" w:lineRule="auto"/>
              <w:ind w:right="170"/>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133</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578</w:t>
            </w:r>
          </w:p>
        </w:tc>
        <w:tc>
          <w:tcPr>
            <w:tcW w:w="1078" w:type="dxa"/>
            <w:tcBorders>
              <w:top w:val="nil"/>
              <w:left w:val="nil"/>
              <w:bottom w:val="single" w:sz="8" w:space="0" w:color="auto"/>
              <w:right w:val="nil"/>
            </w:tcBorders>
            <w:noWrap/>
            <w:vAlign w:val="bottom"/>
            <w:hideMark/>
          </w:tcPr>
          <w:p w14:paraId="7F379825" w14:textId="6819E917" w:rsidR="004F4F9D" w:rsidRPr="00FC22AA" w:rsidRDefault="004F4F9D" w:rsidP="004F4F9D">
            <w:pPr>
              <w:keepNext/>
              <w:keepLines/>
              <w:spacing w:after="0" w:line="240" w:lineRule="auto"/>
              <w:ind w:right="170"/>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-8</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577</w:t>
            </w:r>
          </w:p>
        </w:tc>
        <w:tc>
          <w:tcPr>
            <w:tcW w:w="1078" w:type="dxa"/>
            <w:tcBorders>
              <w:top w:val="nil"/>
              <w:left w:val="nil"/>
              <w:bottom w:val="single" w:sz="8" w:space="0" w:color="auto"/>
              <w:right w:val="nil"/>
            </w:tcBorders>
            <w:noWrap/>
            <w:vAlign w:val="bottom"/>
            <w:hideMark/>
          </w:tcPr>
          <w:p w14:paraId="12D4BAF5" w14:textId="59C359DB" w:rsidR="004F4F9D" w:rsidRPr="00FC22AA" w:rsidRDefault="004F4F9D" w:rsidP="004F4F9D">
            <w:pPr>
              <w:keepNext/>
              <w:keepLines/>
              <w:spacing w:after="0" w:line="240" w:lineRule="auto"/>
              <w:ind w:right="284"/>
              <w:jc w:val="right"/>
              <w:rPr>
                <w:rFonts w:ascii="Calibri" w:eastAsia="Times New Roman" w:hAnsi="Calibri" w:cs="Calibri"/>
                <w:b/>
                <w:bCs/>
                <w:lang w:val="en-GB" w:eastAsia="es-ES"/>
              </w:rPr>
            </w:pPr>
            <w:r w:rsidRPr="00FC22AA">
              <w:rPr>
                <w:rFonts w:ascii="Calibri" w:eastAsia="Times New Roman" w:hAnsi="Calibri" w:cs="Calibri"/>
                <w:b/>
                <w:bCs/>
                <w:lang w:val="en-GB" w:eastAsia="es-ES"/>
              </w:rPr>
              <w:t>-6</w:t>
            </w:r>
            <w:r w:rsidR="00EA6855" w:rsidRPr="00FC22AA">
              <w:rPr>
                <w:rFonts w:ascii="Calibri" w:eastAsia="Times New Roman" w:hAnsi="Calibri" w:cs="Calibri"/>
                <w:b/>
                <w:bCs/>
                <w:lang w:val="en-GB" w:eastAsia="es-ES"/>
              </w:rPr>
              <w:t>.</w:t>
            </w:r>
            <w:r w:rsidRPr="00FC22AA">
              <w:rPr>
                <w:rFonts w:ascii="Calibri" w:eastAsia="Times New Roman" w:hAnsi="Calibri" w:cs="Calibri"/>
                <w:b/>
                <w:bCs/>
                <w:lang w:val="en-GB" w:eastAsia="es-ES"/>
              </w:rPr>
              <w:t>4</w:t>
            </w:r>
          </w:p>
        </w:tc>
      </w:tr>
      <w:bookmarkEnd w:id="5"/>
    </w:tbl>
    <w:p w14:paraId="138A453A" w14:textId="74F329B9" w:rsidR="002A631B" w:rsidRPr="00FC22AA" w:rsidRDefault="002A631B" w:rsidP="00F41C58">
      <w:pPr>
        <w:autoSpaceDE w:val="0"/>
        <w:autoSpaceDN w:val="0"/>
        <w:spacing w:after="0" w:line="240" w:lineRule="auto"/>
        <w:rPr>
          <w:lang w:val="en-GB"/>
        </w:rPr>
      </w:pPr>
    </w:p>
    <w:p w14:paraId="77ADF360" w14:textId="77777777" w:rsidR="00E40B37" w:rsidRPr="00FC22AA" w:rsidRDefault="00E40B37" w:rsidP="00121717">
      <w:pPr>
        <w:spacing w:after="0" w:line="240" w:lineRule="auto"/>
        <w:contextualSpacing/>
        <w:jc w:val="both"/>
        <w:rPr>
          <w:b/>
          <w:bCs/>
          <w:lang w:val="en-GB"/>
        </w:rPr>
      </w:pPr>
    </w:p>
    <w:p w14:paraId="55210FEB" w14:textId="629D5B64" w:rsidR="00121717" w:rsidRPr="00FC22AA" w:rsidRDefault="00781D79" w:rsidP="00121717">
      <w:pPr>
        <w:spacing w:after="0" w:line="240" w:lineRule="auto"/>
        <w:contextualSpacing/>
        <w:jc w:val="both"/>
        <w:rPr>
          <w:b/>
          <w:bCs/>
          <w:lang w:val="en-GB"/>
        </w:rPr>
      </w:pPr>
      <w:r w:rsidRPr="00FC22AA">
        <w:rPr>
          <w:b/>
          <w:bCs/>
          <w:lang w:val="en-GB"/>
        </w:rPr>
        <w:t>Voluntary public takeover bid</w:t>
      </w:r>
    </w:p>
    <w:p w14:paraId="7ADA467C" w14:textId="77777777" w:rsidR="00781D79" w:rsidRPr="00FC22AA" w:rsidRDefault="00781D79" w:rsidP="00121717">
      <w:pPr>
        <w:spacing w:after="0" w:line="240" w:lineRule="auto"/>
        <w:contextualSpacing/>
        <w:jc w:val="both"/>
        <w:rPr>
          <w:lang w:val="en-GB"/>
        </w:rPr>
      </w:pPr>
    </w:p>
    <w:p w14:paraId="79D4BE33" w14:textId="45101396" w:rsidR="00781D79" w:rsidRPr="00FC22AA" w:rsidRDefault="00781D79" w:rsidP="00781D79">
      <w:pPr>
        <w:spacing w:after="0" w:line="240" w:lineRule="auto"/>
        <w:contextualSpacing/>
        <w:jc w:val="both"/>
        <w:rPr>
          <w:lang w:val="en-GB"/>
        </w:rPr>
      </w:pPr>
      <w:r w:rsidRPr="00FC22AA">
        <w:rPr>
          <w:lang w:val="en-GB"/>
        </w:rPr>
        <w:t>On 10 February, the Spanish National Securities Market Commission (CNMV) approved the prospectus for the takeover bid launched by Bondalti Ibérica, S.L.U. (Bondalti), at a price of EUR 3.505 per share. This price does not qualify as a fair price.</w:t>
      </w:r>
    </w:p>
    <w:p w14:paraId="333CF050" w14:textId="77777777" w:rsidR="00F87EBC" w:rsidRPr="00FC22AA" w:rsidRDefault="00F87EBC" w:rsidP="00781D79">
      <w:pPr>
        <w:spacing w:after="0" w:line="240" w:lineRule="auto"/>
        <w:contextualSpacing/>
        <w:jc w:val="both"/>
        <w:rPr>
          <w:lang w:val="en-GB"/>
        </w:rPr>
      </w:pPr>
    </w:p>
    <w:p w14:paraId="7191AC9A" w14:textId="7397CE38" w:rsidR="00781D79" w:rsidRPr="00FC22AA" w:rsidRDefault="00781D79" w:rsidP="00781D79">
      <w:pPr>
        <w:spacing w:after="0" w:line="240" w:lineRule="auto"/>
        <w:contextualSpacing/>
        <w:jc w:val="both"/>
        <w:rPr>
          <w:lang w:val="en-GB"/>
        </w:rPr>
      </w:pPr>
      <w:r w:rsidRPr="00FC22AA">
        <w:rPr>
          <w:lang w:val="en-GB"/>
        </w:rPr>
        <w:t xml:space="preserve">Bondalti has made the </w:t>
      </w:r>
      <w:r w:rsidR="00EA6855" w:rsidRPr="00FC22AA">
        <w:rPr>
          <w:lang w:val="en-GB"/>
        </w:rPr>
        <w:t>bid</w:t>
      </w:r>
      <w:r w:rsidRPr="00FC22AA">
        <w:rPr>
          <w:lang w:val="en-GB"/>
        </w:rPr>
        <w:t xml:space="preserve"> subject to a non</w:t>
      </w:r>
      <w:r w:rsidRPr="00FC22AA">
        <w:rPr>
          <w:lang w:val="en-GB"/>
        </w:rPr>
        <w:noBreakHyphen/>
        <w:t>waivable condition requiring a minimum level of acceptance representing more than half of the voting rights, which means at least 45,718,100 shares.</w:t>
      </w:r>
    </w:p>
    <w:p w14:paraId="06304577" w14:textId="77777777" w:rsidR="00781D79" w:rsidRPr="00FC22AA" w:rsidRDefault="00781D79" w:rsidP="00781D79">
      <w:pPr>
        <w:spacing w:after="0" w:line="240" w:lineRule="auto"/>
        <w:contextualSpacing/>
        <w:jc w:val="both"/>
        <w:rPr>
          <w:lang w:val="en-GB"/>
        </w:rPr>
      </w:pPr>
    </w:p>
    <w:p w14:paraId="7C97765E" w14:textId="2314C07E" w:rsidR="00781D79" w:rsidRPr="00FC22AA" w:rsidRDefault="00781D79" w:rsidP="00781D79">
      <w:pPr>
        <w:spacing w:after="0" w:line="240" w:lineRule="auto"/>
        <w:contextualSpacing/>
        <w:jc w:val="both"/>
        <w:rPr>
          <w:lang w:val="en-GB"/>
        </w:rPr>
      </w:pPr>
      <w:r w:rsidRPr="00FC22AA">
        <w:rPr>
          <w:lang w:val="en-GB"/>
        </w:rPr>
        <w:t xml:space="preserve">The acceptance period for the </w:t>
      </w:r>
      <w:r w:rsidR="00EA6855" w:rsidRPr="00FC22AA">
        <w:rPr>
          <w:lang w:val="en-GB"/>
        </w:rPr>
        <w:t>b</w:t>
      </w:r>
      <w:r w:rsidRPr="00FC22AA">
        <w:rPr>
          <w:lang w:val="en-GB"/>
        </w:rPr>
        <w:t>id runs from 12 February to 13 March 2026, a total of 30 calendar days.</w:t>
      </w:r>
    </w:p>
    <w:p w14:paraId="7823DC77" w14:textId="77777777" w:rsidR="00781D79" w:rsidRPr="00FC22AA" w:rsidRDefault="00781D79" w:rsidP="00781D79">
      <w:pPr>
        <w:spacing w:after="0" w:line="240" w:lineRule="auto"/>
        <w:contextualSpacing/>
        <w:jc w:val="both"/>
        <w:rPr>
          <w:lang w:val="en-GB"/>
        </w:rPr>
      </w:pPr>
    </w:p>
    <w:p w14:paraId="59A5000A" w14:textId="39839DBE" w:rsidR="00781D79" w:rsidRPr="00FC22AA" w:rsidRDefault="00781D79" w:rsidP="00781D79">
      <w:pPr>
        <w:spacing w:after="0" w:line="240" w:lineRule="auto"/>
        <w:contextualSpacing/>
        <w:jc w:val="both"/>
        <w:rPr>
          <w:lang w:val="en-GB"/>
        </w:rPr>
      </w:pPr>
      <w:r w:rsidRPr="00FC22AA">
        <w:rPr>
          <w:lang w:val="en-GB"/>
        </w:rPr>
        <w:t xml:space="preserve">On </w:t>
      </w:r>
      <w:r w:rsidR="00EA6855" w:rsidRPr="00FC22AA">
        <w:rPr>
          <w:lang w:val="en-GB"/>
        </w:rPr>
        <w:t xml:space="preserve">19 </w:t>
      </w:r>
      <w:r w:rsidRPr="00FC22AA">
        <w:rPr>
          <w:lang w:val="en-GB"/>
        </w:rPr>
        <w:t xml:space="preserve">February, the </w:t>
      </w:r>
      <w:r w:rsidR="00EA6855" w:rsidRPr="00FC22AA">
        <w:rPr>
          <w:lang w:val="en-GB"/>
        </w:rPr>
        <w:t xml:space="preserve">board of directors </w:t>
      </w:r>
      <w:r w:rsidRPr="00FC22AA">
        <w:rPr>
          <w:lang w:val="en-GB"/>
        </w:rPr>
        <w:t xml:space="preserve">of Ercros, S.A. issued its mandatory report on the </w:t>
      </w:r>
      <w:r w:rsidR="00EA6855" w:rsidRPr="00FC22AA">
        <w:rPr>
          <w:lang w:val="en-GB"/>
        </w:rPr>
        <w:t>b</w:t>
      </w:r>
      <w:r w:rsidRPr="00FC22AA">
        <w:rPr>
          <w:lang w:val="en-GB"/>
        </w:rPr>
        <w:t>id, rejecting Bondalti’s offer</w:t>
      </w:r>
      <w:r w:rsidR="00EA33CE" w:rsidRPr="00FC22AA">
        <w:rPr>
          <w:lang w:val="en-GB"/>
        </w:rPr>
        <w:t xml:space="preserve"> by majority vote</w:t>
      </w:r>
      <w:r w:rsidRPr="00FC22AA">
        <w:rPr>
          <w:lang w:val="en-GB"/>
        </w:rPr>
        <w:t>.</w:t>
      </w:r>
    </w:p>
    <w:p w14:paraId="78E1C3E5" w14:textId="77777777" w:rsidR="00781D79" w:rsidRPr="00FC22AA" w:rsidRDefault="00781D79" w:rsidP="00781D79">
      <w:pPr>
        <w:spacing w:after="0" w:line="240" w:lineRule="auto"/>
        <w:contextualSpacing/>
        <w:jc w:val="both"/>
        <w:rPr>
          <w:lang w:val="en-GB"/>
        </w:rPr>
      </w:pPr>
    </w:p>
    <w:p w14:paraId="7B25E63F" w14:textId="0BBAD948" w:rsidR="00D42DDE" w:rsidRPr="00604A82" w:rsidRDefault="00781D79" w:rsidP="00D42DDE">
      <w:pPr>
        <w:spacing w:after="0" w:line="240" w:lineRule="auto"/>
        <w:contextualSpacing/>
        <w:jc w:val="both"/>
        <w:rPr>
          <w:lang w:val="en-GB"/>
        </w:rPr>
      </w:pPr>
      <w:r w:rsidRPr="00FC22AA">
        <w:rPr>
          <w:lang w:val="en-GB"/>
        </w:rPr>
        <w:t xml:space="preserve">If Bondalti’s </w:t>
      </w:r>
      <w:r w:rsidR="00EA6855" w:rsidRPr="00FC22AA">
        <w:rPr>
          <w:lang w:val="en-GB"/>
        </w:rPr>
        <w:t>b</w:t>
      </w:r>
      <w:r w:rsidRPr="00FC22AA">
        <w:rPr>
          <w:lang w:val="en-GB"/>
        </w:rPr>
        <w:t>id were to succeed, it would result in a change of control at Ercros. In this situation, certain financing lines</w:t>
      </w:r>
      <w:r w:rsidR="00EA6855" w:rsidRPr="00FC22AA">
        <w:rPr>
          <w:lang w:val="en-GB"/>
        </w:rPr>
        <w:t xml:space="preserve">, </w:t>
      </w:r>
      <w:r w:rsidRPr="00FC22AA">
        <w:rPr>
          <w:lang w:val="en-GB"/>
        </w:rPr>
        <w:t xml:space="preserve">with an outstanding balance of EUR </w:t>
      </w:r>
      <w:r w:rsidR="00077671">
        <w:rPr>
          <w:lang w:val="en-GB"/>
        </w:rPr>
        <w:t>172</w:t>
      </w:r>
      <w:r w:rsidRPr="00FC22AA">
        <w:rPr>
          <w:lang w:val="en-GB"/>
        </w:rPr>
        <w:t xml:space="preserve"> million as of 31 December 2025</w:t>
      </w:r>
      <w:r w:rsidR="00EA6855" w:rsidRPr="00FC22AA">
        <w:rPr>
          <w:lang w:val="en-GB"/>
        </w:rPr>
        <w:t xml:space="preserve">, </w:t>
      </w:r>
      <w:r w:rsidRPr="00FC22AA">
        <w:rPr>
          <w:lang w:val="en-GB"/>
        </w:rPr>
        <w:t xml:space="preserve">provide for early maturity in the event of a change of control. Ercros has requested from the relevant institutions a waiver of the mandatory repayment triggered by a change of control, </w:t>
      </w:r>
      <w:proofErr w:type="gramStart"/>
      <w:r w:rsidRPr="00FC22AA">
        <w:rPr>
          <w:lang w:val="en-GB"/>
        </w:rPr>
        <w:t>in the event that</w:t>
      </w:r>
      <w:proofErr w:type="gramEnd"/>
      <w:r w:rsidRPr="00FC22AA">
        <w:rPr>
          <w:lang w:val="en-GB"/>
        </w:rPr>
        <w:t xml:space="preserve"> Bondalti acquires control of Ercros</w:t>
      </w:r>
      <w:r w:rsidR="00D42DDE" w:rsidRPr="00FC22AA">
        <w:rPr>
          <w:lang w:val="en-GB"/>
        </w:rPr>
        <w:t xml:space="preserve">, </w:t>
      </w:r>
      <w:r w:rsidR="00D42DDE" w:rsidRPr="00604A82">
        <w:rPr>
          <w:lang w:val="en-GB"/>
        </w:rPr>
        <w:t>which has not been approved by the financial institutions.</w:t>
      </w:r>
    </w:p>
    <w:p w14:paraId="29FF5E45" w14:textId="5BAD8980" w:rsidR="00781D79" w:rsidRPr="00FC22AA" w:rsidRDefault="00781D79" w:rsidP="00781D79">
      <w:pPr>
        <w:spacing w:after="0" w:line="240" w:lineRule="auto"/>
        <w:contextualSpacing/>
        <w:jc w:val="both"/>
        <w:rPr>
          <w:lang w:val="en-GB"/>
        </w:rPr>
      </w:pPr>
    </w:p>
    <w:p w14:paraId="3CEB72EA" w14:textId="0BB361D8" w:rsidR="00D42DDE" w:rsidRPr="00FC22AA" w:rsidRDefault="00781D79" w:rsidP="00781D79">
      <w:pPr>
        <w:spacing w:after="0" w:line="240" w:lineRule="auto"/>
        <w:contextualSpacing/>
        <w:jc w:val="both"/>
        <w:rPr>
          <w:lang w:val="en-GB"/>
        </w:rPr>
      </w:pPr>
      <w:r w:rsidRPr="00FC22AA">
        <w:rPr>
          <w:lang w:val="en-GB"/>
        </w:rPr>
        <w:t>Bondalti’s prospectus does not include a specific solution to this situation</w:t>
      </w:r>
      <w:r w:rsidR="00D42DDE" w:rsidRPr="00FC22AA">
        <w:rPr>
          <w:lang w:val="en-GB"/>
        </w:rPr>
        <w:t>,</w:t>
      </w:r>
      <w:r w:rsidRPr="00FC22AA">
        <w:rPr>
          <w:lang w:val="en-GB"/>
        </w:rPr>
        <w:t xml:space="preserve"> which would arise if its </w:t>
      </w:r>
      <w:r w:rsidR="00EA6855" w:rsidRPr="00FC22AA">
        <w:rPr>
          <w:lang w:val="en-GB"/>
        </w:rPr>
        <w:t>b</w:t>
      </w:r>
      <w:r w:rsidRPr="00FC22AA">
        <w:rPr>
          <w:lang w:val="en-GB"/>
        </w:rPr>
        <w:t xml:space="preserve">id </w:t>
      </w:r>
      <w:proofErr w:type="gramStart"/>
      <w:r w:rsidRPr="00FC22AA">
        <w:rPr>
          <w:lang w:val="en-GB"/>
        </w:rPr>
        <w:t>is</w:t>
      </w:r>
      <w:proofErr w:type="gramEnd"/>
      <w:r w:rsidRPr="00FC22AA">
        <w:rPr>
          <w:lang w:val="en-GB"/>
        </w:rPr>
        <w:t xml:space="preserve"> successful, although Bondalti states its intention to resolve this through transitional financing. </w:t>
      </w:r>
    </w:p>
    <w:p w14:paraId="3E3BB053" w14:textId="77777777" w:rsidR="00D42DDE" w:rsidRPr="00FC22AA" w:rsidRDefault="00D42DDE" w:rsidP="00781D79">
      <w:pPr>
        <w:spacing w:after="0" w:line="240" w:lineRule="auto"/>
        <w:contextualSpacing/>
        <w:jc w:val="both"/>
        <w:rPr>
          <w:lang w:val="en-GB"/>
        </w:rPr>
      </w:pPr>
    </w:p>
    <w:p w14:paraId="3005EF8B" w14:textId="7B8881E9" w:rsidR="00D42DDE" w:rsidRPr="00FC22AA" w:rsidRDefault="00D42DDE" w:rsidP="00781D79">
      <w:pPr>
        <w:spacing w:after="0" w:line="240" w:lineRule="auto"/>
        <w:contextualSpacing/>
        <w:jc w:val="both"/>
        <w:rPr>
          <w:lang w:val="en-GB"/>
        </w:rPr>
      </w:pPr>
      <w:r w:rsidRPr="00FC22AA">
        <w:rPr>
          <w:lang w:val="en-GB"/>
        </w:rPr>
        <w:t xml:space="preserve">Bondalti also plans to integrate Ercros into its chemical business and to review the strategic plan, which could be significantly altered. Ercros would become one of the group’s chemical subsidiaries, whose activities would be constrained by the financing agreements </w:t>
      </w:r>
      <w:proofErr w:type="gramStart"/>
      <w:r w:rsidRPr="00FC22AA">
        <w:rPr>
          <w:lang w:val="en-GB"/>
        </w:rPr>
        <w:t>entered into</w:t>
      </w:r>
      <w:proofErr w:type="gramEnd"/>
      <w:r w:rsidRPr="00FC22AA">
        <w:rPr>
          <w:lang w:val="en-GB"/>
        </w:rPr>
        <w:t xml:space="preserve"> by Bondalti to fund the acquisition of Ercros, S.A.</w:t>
      </w:r>
    </w:p>
    <w:p w14:paraId="295C38AA" w14:textId="77777777" w:rsidR="00D42DDE" w:rsidRPr="00FC22AA" w:rsidRDefault="00D42DDE" w:rsidP="00781D79">
      <w:pPr>
        <w:spacing w:after="0" w:line="240" w:lineRule="auto"/>
        <w:contextualSpacing/>
        <w:jc w:val="both"/>
        <w:rPr>
          <w:lang w:val="en-GB"/>
        </w:rPr>
      </w:pPr>
    </w:p>
    <w:p w14:paraId="44D0405A" w14:textId="5F7F152D" w:rsidR="00781D79" w:rsidRPr="00FC22AA" w:rsidRDefault="00781D79" w:rsidP="00781D79">
      <w:pPr>
        <w:spacing w:after="0" w:line="240" w:lineRule="auto"/>
        <w:contextualSpacing/>
        <w:jc w:val="both"/>
        <w:rPr>
          <w:lang w:val="en-GB"/>
        </w:rPr>
      </w:pPr>
      <w:r w:rsidRPr="00FC22AA">
        <w:rPr>
          <w:lang w:val="en-GB"/>
        </w:rPr>
        <w:t>Bondalti also foresees the delisting of Ercros’ shares.</w:t>
      </w:r>
    </w:p>
    <w:p w14:paraId="5F662B23" w14:textId="77777777" w:rsidR="00EF7B3F" w:rsidRPr="00FC22AA" w:rsidRDefault="00EF7B3F" w:rsidP="008D7BD6">
      <w:pPr>
        <w:spacing w:after="0" w:line="240" w:lineRule="auto"/>
        <w:contextualSpacing/>
        <w:jc w:val="both"/>
        <w:rPr>
          <w:lang w:val="en-GB"/>
        </w:rPr>
      </w:pPr>
    </w:p>
    <w:p w14:paraId="552EC797" w14:textId="77777777" w:rsidR="00185D17" w:rsidRDefault="00185D17" w:rsidP="008D7BD6">
      <w:pPr>
        <w:spacing w:after="0" w:line="240" w:lineRule="auto"/>
        <w:contextualSpacing/>
        <w:jc w:val="both"/>
        <w:rPr>
          <w:lang w:val="en-GB"/>
        </w:rPr>
      </w:pPr>
    </w:p>
    <w:p w14:paraId="11567B24" w14:textId="77777777" w:rsidR="00EE5F40" w:rsidRPr="00FC22AA" w:rsidRDefault="00EE5F40" w:rsidP="008D7BD6">
      <w:pPr>
        <w:spacing w:after="0" w:line="240" w:lineRule="auto"/>
        <w:contextualSpacing/>
        <w:jc w:val="both"/>
        <w:rPr>
          <w:lang w:val="en-GB"/>
        </w:rPr>
      </w:pPr>
    </w:p>
    <w:p w14:paraId="03769346" w14:textId="31CAB03C" w:rsidR="00781D79" w:rsidRPr="00FC22AA" w:rsidRDefault="00781D79" w:rsidP="005A6F8C">
      <w:pPr>
        <w:pStyle w:val="Prrafodelista"/>
        <w:numPr>
          <w:ilvl w:val="0"/>
          <w:numId w:val="33"/>
        </w:numPr>
        <w:spacing w:after="0" w:line="240" w:lineRule="auto"/>
        <w:ind w:left="851" w:hanging="567"/>
        <w:jc w:val="both"/>
        <w:rPr>
          <w:color w:val="000000" w:themeColor="text1"/>
          <w:lang w:val="en-GB"/>
        </w:rPr>
      </w:pPr>
      <w:bookmarkStart w:id="6" w:name="_Hlk94770393"/>
      <w:r w:rsidRPr="00FC22AA">
        <w:rPr>
          <w:b/>
          <w:bCs/>
          <w:lang w:val="en-GB"/>
        </w:rPr>
        <w:t xml:space="preserve">RESULTS BY BUSINESS </w:t>
      </w:r>
    </w:p>
    <w:p w14:paraId="38247727" w14:textId="77777777" w:rsidR="00781D79" w:rsidRPr="00FC22AA" w:rsidRDefault="00781D79" w:rsidP="00781D79">
      <w:pPr>
        <w:pStyle w:val="Prrafodelista"/>
        <w:spacing w:after="0" w:line="240" w:lineRule="auto"/>
        <w:ind w:left="851"/>
        <w:jc w:val="both"/>
        <w:rPr>
          <w:color w:val="000000" w:themeColor="text1"/>
          <w:lang w:val="en-GB"/>
        </w:rPr>
      </w:pPr>
    </w:p>
    <w:p w14:paraId="48546F64" w14:textId="68619AA5" w:rsidR="00781D79" w:rsidRPr="00FC22AA" w:rsidRDefault="00781D79" w:rsidP="00781D79">
      <w:pPr>
        <w:pStyle w:val="Default"/>
        <w:jc w:val="both"/>
        <w:rPr>
          <w:color w:val="000000" w:themeColor="text1"/>
          <w:lang w:val="en-GB"/>
        </w:rPr>
      </w:pPr>
      <w:r w:rsidRPr="00FC22AA">
        <w:rPr>
          <w:color w:val="000000" w:themeColor="text1"/>
          <w:lang w:val="en-GB"/>
        </w:rPr>
        <w:t>The weakness in demand in the European chemical sector, which began in mid</w:t>
      </w:r>
      <w:r w:rsidRPr="00FC22AA">
        <w:rPr>
          <w:color w:val="000000" w:themeColor="text1"/>
          <w:lang w:val="en-GB"/>
        </w:rPr>
        <w:noBreakHyphen/>
        <w:t>2022, continued throughout 2025.</w:t>
      </w:r>
    </w:p>
    <w:p w14:paraId="0F595E25" w14:textId="77777777" w:rsidR="00781D79" w:rsidRPr="00FC22AA" w:rsidRDefault="00781D79" w:rsidP="00781D79">
      <w:pPr>
        <w:pStyle w:val="Default"/>
        <w:jc w:val="both"/>
        <w:rPr>
          <w:color w:val="000000" w:themeColor="text1"/>
          <w:lang w:val="en-GB"/>
        </w:rPr>
      </w:pPr>
    </w:p>
    <w:p w14:paraId="6A4223D9" w14:textId="0D3041CF" w:rsidR="00781D79" w:rsidRPr="00FC22AA" w:rsidRDefault="00781D79" w:rsidP="00781D79">
      <w:pPr>
        <w:pStyle w:val="Default"/>
        <w:jc w:val="both"/>
        <w:rPr>
          <w:color w:val="000000" w:themeColor="text1"/>
          <w:lang w:val="en-GB"/>
        </w:rPr>
      </w:pPr>
      <w:r w:rsidRPr="00FC22AA">
        <w:rPr>
          <w:color w:val="000000" w:themeColor="text1"/>
          <w:lang w:val="en-GB"/>
        </w:rPr>
        <w:t>In this context, the efforts of Ercros’ business units remained focused on adjusting production levels to demand while defending margins as far as possible in a market environment characterised by excess supply and strong competition. Cost</w:t>
      </w:r>
      <w:r w:rsidRPr="00FC22AA">
        <w:rPr>
          <w:color w:val="000000" w:themeColor="text1"/>
          <w:lang w:val="en-GB"/>
        </w:rPr>
        <w:noBreakHyphen/>
        <w:t>reduction and competitiveness</w:t>
      </w:r>
      <w:r w:rsidRPr="00FC22AA">
        <w:rPr>
          <w:color w:val="000000" w:themeColor="text1"/>
          <w:lang w:val="en-GB"/>
        </w:rPr>
        <w:noBreakHyphen/>
        <w:t>improvement measures continue to be implemented without affecting industrial activity.</w:t>
      </w:r>
    </w:p>
    <w:p w14:paraId="5161485A" w14:textId="77777777" w:rsidR="00781D79" w:rsidRPr="00FC22AA" w:rsidRDefault="00781D79" w:rsidP="00781D79">
      <w:pPr>
        <w:pStyle w:val="Default"/>
        <w:jc w:val="both"/>
        <w:rPr>
          <w:color w:val="000000" w:themeColor="text1"/>
          <w:lang w:val="en-GB"/>
        </w:rPr>
      </w:pPr>
    </w:p>
    <w:p w14:paraId="0666287B" w14:textId="33C334EF" w:rsidR="00781D79" w:rsidRPr="00FC22AA" w:rsidRDefault="00781D79" w:rsidP="00781D79">
      <w:pPr>
        <w:pStyle w:val="Default"/>
        <w:jc w:val="both"/>
        <w:rPr>
          <w:color w:val="000000" w:themeColor="text1"/>
          <w:lang w:val="en-GB"/>
        </w:rPr>
      </w:pPr>
      <w:r w:rsidRPr="00FC22AA">
        <w:rPr>
          <w:color w:val="000000" w:themeColor="text1"/>
          <w:lang w:val="en-GB"/>
        </w:rPr>
        <w:t xml:space="preserve">In 2025, compared with 2024, sales in the </w:t>
      </w:r>
      <w:r w:rsidR="00EA6855" w:rsidRPr="00FC22AA">
        <w:rPr>
          <w:color w:val="000000" w:themeColor="text1"/>
          <w:lang w:val="en-GB"/>
        </w:rPr>
        <w:t xml:space="preserve">chlorine derivatives </w:t>
      </w:r>
      <w:r w:rsidRPr="00FC22AA">
        <w:rPr>
          <w:color w:val="000000" w:themeColor="text1"/>
          <w:lang w:val="en-GB"/>
        </w:rPr>
        <w:t xml:space="preserve">division fell by 4.9%, due to a 4.5% decrease in the average selling price, combined with a 0.3% decline in volumes sold. In addition, there was a sharp increase in energy costs. As a result, the division’s </w:t>
      </w:r>
      <w:r w:rsidR="00EA6855" w:rsidRPr="00FC22AA">
        <w:rPr>
          <w:color w:val="000000" w:themeColor="text1"/>
          <w:lang w:val="en-GB"/>
        </w:rPr>
        <w:t xml:space="preserve">ebitda </w:t>
      </w:r>
      <w:r w:rsidRPr="00FC22AA">
        <w:rPr>
          <w:color w:val="000000" w:themeColor="text1"/>
          <w:lang w:val="en-GB"/>
        </w:rPr>
        <w:t xml:space="preserve">dropped to EUR 7.21 million, bringing the </w:t>
      </w:r>
      <w:r w:rsidR="00EA6855" w:rsidRPr="00FC22AA">
        <w:rPr>
          <w:color w:val="000000" w:themeColor="text1"/>
          <w:lang w:val="en-GB"/>
        </w:rPr>
        <w:t>ebitda</w:t>
      </w:r>
      <w:r w:rsidRPr="00FC22AA">
        <w:rPr>
          <w:color w:val="000000" w:themeColor="text1"/>
          <w:lang w:val="en-GB"/>
        </w:rPr>
        <w:noBreakHyphen/>
        <w:t>to</w:t>
      </w:r>
      <w:r w:rsidRPr="00FC22AA">
        <w:rPr>
          <w:color w:val="000000" w:themeColor="text1"/>
          <w:lang w:val="en-GB"/>
        </w:rPr>
        <w:noBreakHyphen/>
        <w:t>sales ratio to 2.0%.</w:t>
      </w:r>
    </w:p>
    <w:p w14:paraId="4AE0AC60" w14:textId="77777777" w:rsidR="00781D79" w:rsidRPr="00FC22AA" w:rsidRDefault="00781D79" w:rsidP="00781D79">
      <w:pPr>
        <w:pStyle w:val="Default"/>
        <w:jc w:val="both"/>
        <w:rPr>
          <w:color w:val="000000" w:themeColor="text1"/>
          <w:lang w:val="en-GB"/>
        </w:rPr>
      </w:pPr>
    </w:p>
    <w:p w14:paraId="182BB8B3" w14:textId="56F3BB53" w:rsidR="00781D79" w:rsidRPr="00FC22AA" w:rsidRDefault="00781D79" w:rsidP="00781D79">
      <w:pPr>
        <w:pStyle w:val="Default"/>
        <w:jc w:val="both"/>
        <w:rPr>
          <w:color w:val="000000" w:themeColor="text1"/>
          <w:lang w:val="en-GB"/>
        </w:rPr>
      </w:pPr>
      <w:r w:rsidRPr="00FC22AA">
        <w:rPr>
          <w:color w:val="000000" w:themeColor="text1"/>
          <w:lang w:val="en-GB"/>
        </w:rPr>
        <w:t xml:space="preserve">In the </w:t>
      </w:r>
      <w:r w:rsidR="00EA6855" w:rsidRPr="00FC22AA">
        <w:rPr>
          <w:color w:val="000000" w:themeColor="text1"/>
          <w:lang w:val="en-GB"/>
        </w:rPr>
        <w:t xml:space="preserve">intermediate chemicals </w:t>
      </w:r>
      <w:r w:rsidRPr="00FC22AA">
        <w:rPr>
          <w:color w:val="000000" w:themeColor="text1"/>
          <w:lang w:val="en-GB"/>
        </w:rPr>
        <w:t xml:space="preserve">division, sales fell by 9.6% in 2025 compared with 2024, due to a 9.7% decrease in volumes sold, while the average price of the division’s products remained similar. This, together with higher energy and procurement costs, led to a EUR 14.57 million reduction in the division’s </w:t>
      </w:r>
      <w:r w:rsidR="00EA6855" w:rsidRPr="00FC22AA">
        <w:rPr>
          <w:color w:val="000000" w:themeColor="text1"/>
          <w:lang w:val="en-GB"/>
        </w:rPr>
        <w:t xml:space="preserve">ebitda </w:t>
      </w:r>
      <w:r w:rsidRPr="00FC22AA">
        <w:rPr>
          <w:color w:val="000000" w:themeColor="text1"/>
          <w:lang w:val="en-GB"/>
        </w:rPr>
        <w:t xml:space="preserve">to EUR 0.4 million, bringing the </w:t>
      </w:r>
      <w:r w:rsidR="00EA6855" w:rsidRPr="00FC22AA">
        <w:rPr>
          <w:color w:val="000000" w:themeColor="text1"/>
          <w:lang w:val="en-GB"/>
        </w:rPr>
        <w:t>ebitda</w:t>
      </w:r>
      <w:r w:rsidRPr="00FC22AA">
        <w:rPr>
          <w:color w:val="000000" w:themeColor="text1"/>
          <w:lang w:val="en-GB"/>
        </w:rPr>
        <w:noBreakHyphen/>
        <w:t>to</w:t>
      </w:r>
      <w:r w:rsidRPr="00FC22AA">
        <w:rPr>
          <w:color w:val="000000" w:themeColor="text1"/>
          <w:lang w:val="en-GB"/>
        </w:rPr>
        <w:noBreakHyphen/>
        <w:t>sales ratio to 0.2%, compared with 7.7% in 2024.</w:t>
      </w:r>
    </w:p>
    <w:p w14:paraId="7ACB67FF" w14:textId="77777777" w:rsidR="00781D79" w:rsidRPr="00FC22AA" w:rsidRDefault="00781D79" w:rsidP="00781D79">
      <w:pPr>
        <w:pStyle w:val="Default"/>
        <w:jc w:val="both"/>
        <w:rPr>
          <w:color w:val="000000" w:themeColor="text1"/>
          <w:lang w:val="en-GB"/>
        </w:rPr>
      </w:pPr>
    </w:p>
    <w:p w14:paraId="60595F7A" w14:textId="38D03C9A" w:rsidR="00781D79" w:rsidRPr="00FC22AA" w:rsidRDefault="00781D79" w:rsidP="00781D79">
      <w:pPr>
        <w:pStyle w:val="Default"/>
        <w:jc w:val="both"/>
        <w:rPr>
          <w:color w:val="000000" w:themeColor="text1"/>
          <w:lang w:val="en-GB"/>
        </w:rPr>
      </w:pPr>
      <w:r w:rsidRPr="00FC22AA">
        <w:rPr>
          <w:color w:val="000000" w:themeColor="text1"/>
          <w:lang w:val="en-GB"/>
        </w:rPr>
        <w:t xml:space="preserve">The </w:t>
      </w:r>
      <w:r w:rsidR="00EA6855" w:rsidRPr="00FC22AA">
        <w:rPr>
          <w:color w:val="000000" w:themeColor="text1"/>
          <w:lang w:val="en-GB"/>
        </w:rPr>
        <w:t>p</w:t>
      </w:r>
      <w:r w:rsidRPr="00FC22AA">
        <w:rPr>
          <w:color w:val="000000" w:themeColor="text1"/>
          <w:lang w:val="en-GB"/>
        </w:rPr>
        <w:t xml:space="preserve">harmaceuticals division experienced a 3.6% decrease in sales, driven by a 7.7% fall in volumes sold, despite a 4.5% increase in selling prices. Operating costs, meanwhile, increased, resulting in a reduction of </w:t>
      </w:r>
      <w:r w:rsidR="00EA6855" w:rsidRPr="00FC22AA">
        <w:rPr>
          <w:color w:val="000000" w:themeColor="text1"/>
          <w:lang w:val="en-GB"/>
        </w:rPr>
        <w:t xml:space="preserve">ebitda </w:t>
      </w:r>
      <w:r w:rsidRPr="00FC22AA">
        <w:rPr>
          <w:color w:val="000000" w:themeColor="text1"/>
          <w:lang w:val="en-GB"/>
        </w:rPr>
        <w:t>to EUR 0.2 million.</w:t>
      </w:r>
    </w:p>
    <w:p w14:paraId="59309CC9" w14:textId="77777777" w:rsidR="00F95BDD" w:rsidRPr="00FC22AA" w:rsidRDefault="00F95BDD" w:rsidP="00F95BDD">
      <w:pPr>
        <w:pStyle w:val="Default"/>
        <w:jc w:val="both"/>
        <w:rPr>
          <w:color w:val="auto"/>
          <w:lang w:val="en-GB"/>
        </w:rPr>
      </w:pPr>
    </w:p>
    <w:p w14:paraId="0DFBE501" w14:textId="77777777" w:rsidR="004F4F9D" w:rsidRPr="00FC22AA" w:rsidRDefault="004F4F9D" w:rsidP="004F4F9D">
      <w:pPr>
        <w:keepNext/>
        <w:keepLines/>
        <w:autoSpaceDE w:val="0"/>
        <w:autoSpaceDN w:val="0"/>
        <w:spacing w:after="0" w:line="240" w:lineRule="auto"/>
        <w:contextualSpacing/>
        <w:rPr>
          <w:color w:val="000000" w:themeColor="text1"/>
          <w:lang w:val="en-GB"/>
        </w:rPr>
      </w:pPr>
      <w:r w:rsidRPr="00FC22AA">
        <w:rPr>
          <w:b/>
          <w:bCs/>
          <w:color w:val="000000" w:themeColor="text1"/>
          <w:u w:val="single"/>
          <w:lang w:val="en-GB"/>
        </w:rPr>
        <w:t>RESULTS BY BUSINESS</w:t>
      </w:r>
      <w:r w:rsidRPr="00FC22AA">
        <w:rPr>
          <w:color w:val="000000" w:themeColor="text1"/>
          <w:lang w:val="en-GB" w:eastAsia="es-ES"/>
        </w:rPr>
        <w:fldChar w:fldCharType="begin"/>
      </w:r>
      <w:r w:rsidRPr="00FC22AA">
        <w:rPr>
          <w:color w:val="000000" w:themeColor="text1"/>
          <w:lang w:val="en-GB" w:eastAsia="es-ES"/>
        </w:rPr>
        <w:instrText xml:space="preserve"> LINK Excel.Sheet.12 "C:\\Users\\azabalza\\Documents\\Notas de prensa de resultados\\Datos y Gráficos Resultados 3T2021.xlsx" "EBITDA ajustado y por negocios!F14C2:F30C5" \a \f 4 \h  \* MERGEFORMAT </w:instrText>
      </w:r>
      <w:r w:rsidRPr="00FC22AA">
        <w:rPr>
          <w:color w:val="000000" w:themeColor="text1"/>
          <w:lang w:val="en-GB" w:eastAsia="es-ES"/>
        </w:rPr>
        <w:fldChar w:fldCharType="separate"/>
      </w:r>
    </w:p>
    <w:p w14:paraId="702F3171" w14:textId="138D2059" w:rsidR="00F41C58" w:rsidRPr="00FC22AA" w:rsidRDefault="004F4F9D" w:rsidP="004F4F9D">
      <w:pPr>
        <w:keepNext/>
        <w:keepLines/>
        <w:autoSpaceDE w:val="0"/>
        <w:autoSpaceDN w:val="0"/>
        <w:spacing w:after="0" w:line="240" w:lineRule="auto"/>
        <w:contextualSpacing/>
        <w:rPr>
          <w:color w:val="000000" w:themeColor="text1"/>
          <w:lang w:val="en-GB"/>
        </w:rPr>
      </w:pPr>
      <w:r w:rsidRPr="00FC22AA">
        <w:rPr>
          <w:rFonts w:eastAsia="Times New Roman" w:cstheme="minorHAnsi"/>
          <w:color w:val="000000" w:themeColor="text1"/>
          <w:sz w:val="20"/>
          <w:szCs w:val="20"/>
          <w:lang w:val="en-GB" w:eastAsia="es-ES"/>
        </w:rPr>
        <w:fldChar w:fldCharType="end"/>
      </w:r>
      <w:r w:rsidR="00F41C58" w:rsidRPr="00FC22AA">
        <w:rPr>
          <w:color w:val="000000" w:themeColor="text1"/>
          <w:lang w:val="en-GB" w:eastAsia="es-ES"/>
        </w:rPr>
        <w:fldChar w:fldCharType="begin"/>
      </w:r>
      <w:r w:rsidR="00F41C58" w:rsidRPr="00FC22AA">
        <w:rPr>
          <w:color w:val="000000" w:themeColor="text1"/>
          <w:lang w:val="en-GB" w:eastAsia="es-ES"/>
        </w:rPr>
        <w:instrText xml:space="preserve"> LINK </w:instrText>
      </w:r>
      <w:r w:rsidR="00944D7A" w:rsidRPr="00FC22AA">
        <w:rPr>
          <w:color w:val="000000" w:themeColor="text1"/>
          <w:lang w:val="en-GB" w:eastAsia="es-ES"/>
        </w:rPr>
        <w:instrText xml:space="preserve">Excel.Sheet.12 "C:\\Users\\azabalza\\Documents\\Notas de prensa de resultados\\Datos y Gráficos Resultados 3T2021.xlsx" "EBITDA ajustado y por negocios!F14C2:F30C5" </w:instrText>
      </w:r>
      <w:r w:rsidR="00F41C58" w:rsidRPr="00FC22AA">
        <w:rPr>
          <w:color w:val="000000" w:themeColor="text1"/>
          <w:lang w:val="en-GB" w:eastAsia="es-ES"/>
        </w:rPr>
        <w:instrText xml:space="preserve">\a \f 4 \h  \* MERGEFORMAT </w:instrText>
      </w:r>
      <w:r w:rsidR="00F41C58" w:rsidRPr="00FC22AA">
        <w:rPr>
          <w:color w:val="000000" w:themeColor="text1"/>
          <w:lang w:val="en-GB" w:eastAsia="es-ES"/>
        </w:rPr>
        <w:fldChar w:fldCharType="separate"/>
      </w:r>
    </w:p>
    <w:p w14:paraId="1B7A036B" w14:textId="77777777" w:rsidR="00F77258" w:rsidRPr="00FC22AA" w:rsidRDefault="00F41C58" w:rsidP="00F41C58">
      <w:pPr>
        <w:pStyle w:val="Prrafodelista"/>
        <w:keepNext/>
        <w:keepLines/>
        <w:spacing w:after="0" w:line="240" w:lineRule="auto"/>
        <w:ind w:left="0"/>
        <w:rPr>
          <w:rFonts w:eastAsia="Times New Roman" w:cstheme="minorHAnsi"/>
          <w:color w:val="000000" w:themeColor="text1"/>
          <w:sz w:val="20"/>
          <w:szCs w:val="20"/>
          <w:lang w:val="en-GB" w:eastAsia="es-ES"/>
        </w:rPr>
      </w:pPr>
      <w:r w:rsidRPr="00FC22AA">
        <w:rPr>
          <w:rFonts w:eastAsia="Times New Roman" w:cstheme="minorHAnsi"/>
          <w:color w:val="000000" w:themeColor="text1"/>
          <w:sz w:val="20"/>
          <w:szCs w:val="20"/>
          <w:lang w:val="en-GB" w:eastAsia="es-ES"/>
        </w:rPr>
        <w:fldChar w:fldCharType="end"/>
      </w:r>
    </w:p>
    <w:tbl>
      <w:tblPr>
        <w:tblW w:w="8493" w:type="dxa"/>
        <w:tblCellMar>
          <w:left w:w="70" w:type="dxa"/>
          <w:right w:w="70" w:type="dxa"/>
        </w:tblCellMar>
        <w:tblLook w:val="04A0" w:firstRow="1" w:lastRow="0" w:firstColumn="1" w:lastColumn="0" w:noHBand="0" w:noVBand="1"/>
      </w:tblPr>
      <w:tblGrid>
        <w:gridCol w:w="4588"/>
        <w:gridCol w:w="1384"/>
        <w:gridCol w:w="1384"/>
        <w:gridCol w:w="1137"/>
      </w:tblGrid>
      <w:tr w:rsidR="004F4F9D" w:rsidRPr="00FC22AA" w14:paraId="45E4C1C9" w14:textId="77777777" w:rsidTr="00740D1B">
        <w:trPr>
          <w:trHeight w:val="57"/>
        </w:trPr>
        <w:tc>
          <w:tcPr>
            <w:tcW w:w="4588" w:type="dxa"/>
            <w:tcBorders>
              <w:left w:val="nil"/>
              <w:bottom w:val="single" w:sz="8" w:space="0" w:color="auto"/>
              <w:right w:val="nil"/>
            </w:tcBorders>
            <w:vAlign w:val="bottom"/>
            <w:hideMark/>
          </w:tcPr>
          <w:p w14:paraId="32E1D43F" w14:textId="3DC5789E" w:rsidR="004F4F9D" w:rsidRPr="00FC22AA" w:rsidRDefault="004F4F9D" w:rsidP="004F4F9D">
            <w:pPr>
              <w:pStyle w:val="Ttulo5"/>
              <w:rPr>
                <w:lang w:val="en-GB"/>
              </w:rPr>
            </w:pPr>
            <w:r w:rsidRPr="00FC22AA">
              <w:rPr>
                <w:rFonts w:ascii="Calibri" w:hAnsi="Calibri" w:cs="Calibri"/>
                <w:lang w:val="en-GB"/>
              </w:rPr>
              <w:t>Thousands of euros</w:t>
            </w:r>
          </w:p>
        </w:tc>
        <w:tc>
          <w:tcPr>
            <w:tcW w:w="1384" w:type="dxa"/>
            <w:tcBorders>
              <w:left w:val="nil"/>
              <w:bottom w:val="single" w:sz="8" w:space="0" w:color="auto"/>
              <w:right w:val="nil"/>
            </w:tcBorders>
            <w:vAlign w:val="center"/>
            <w:hideMark/>
          </w:tcPr>
          <w:p w14:paraId="1C984D74" w14:textId="1CCC2423" w:rsidR="004F4F9D" w:rsidRPr="00FC22AA" w:rsidRDefault="004F4F9D" w:rsidP="004F4F9D">
            <w:pPr>
              <w:keepNext/>
              <w:keepLines/>
              <w:spacing w:after="0" w:line="240" w:lineRule="auto"/>
              <w:jc w:val="center"/>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2025</w:t>
            </w:r>
          </w:p>
        </w:tc>
        <w:tc>
          <w:tcPr>
            <w:tcW w:w="1384" w:type="dxa"/>
            <w:tcBorders>
              <w:left w:val="nil"/>
              <w:bottom w:val="single" w:sz="8" w:space="0" w:color="auto"/>
              <w:right w:val="nil"/>
            </w:tcBorders>
            <w:vAlign w:val="center"/>
            <w:hideMark/>
          </w:tcPr>
          <w:p w14:paraId="19E02971" w14:textId="074E2C43" w:rsidR="004F4F9D" w:rsidRPr="00FC22AA" w:rsidRDefault="004F4F9D" w:rsidP="004F4F9D">
            <w:pPr>
              <w:keepNext/>
              <w:keepLines/>
              <w:spacing w:after="0" w:line="240" w:lineRule="auto"/>
              <w:jc w:val="center"/>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2024</w:t>
            </w:r>
          </w:p>
        </w:tc>
        <w:tc>
          <w:tcPr>
            <w:tcW w:w="1137" w:type="dxa"/>
            <w:tcBorders>
              <w:left w:val="nil"/>
              <w:bottom w:val="single" w:sz="8" w:space="0" w:color="auto"/>
              <w:right w:val="nil"/>
            </w:tcBorders>
            <w:vAlign w:val="center"/>
            <w:hideMark/>
          </w:tcPr>
          <w:p w14:paraId="47A2A6C5" w14:textId="77777777" w:rsidR="004F4F9D" w:rsidRPr="00FC22AA" w:rsidRDefault="004F4F9D" w:rsidP="004F4F9D">
            <w:pPr>
              <w:keepNext/>
              <w:keepLines/>
              <w:spacing w:after="0" w:line="240" w:lineRule="auto"/>
              <w:jc w:val="center"/>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w:t>
            </w:r>
          </w:p>
        </w:tc>
      </w:tr>
      <w:tr w:rsidR="00F77258" w:rsidRPr="00FC22AA" w14:paraId="21065EBB" w14:textId="77777777" w:rsidTr="007F622A">
        <w:trPr>
          <w:trHeight w:val="57"/>
        </w:trPr>
        <w:tc>
          <w:tcPr>
            <w:tcW w:w="4588" w:type="dxa"/>
            <w:tcBorders>
              <w:top w:val="single" w:sz="8" w:space="0" w:color="auto"/>
              <w:left w:val="nil"/>
              <w:bottom w:val="nil"/>
              <w:right w:val="nil"/>
            </w:tcBorders>
            <w:noWrap/>
            <w:vAlign w:val="center"/>
            <w:hideMark/>
          </w:tcPr>
          <w:p w14:paraId="73EB1D46" w14:textId="77777777" w:rsidR="00F77258" w:rsidRPr="00FC22AA" w:rsidRDefault="00F77258" w:rsidP="007F622A">
            <w:pPr>
              <w:keepNext/>
              <w:keepLines/>
              <w:spacing w:after="0" w:line="240" w:lineRule="auto"/>
              <w:jc w:val="right"/>
              <w:rPr>
                <w:rFonts w:eastAsia="Times New Roman" w:cstheme="minorHAnsi"/>
                <w:b/>
                <w:bCs/>
                <w:color w:val="000000" w:themeColor="text1"/>
                <w:lang w:val="en-GB" w:eastAsia="es-ES"/>
              </w:rPr>
            </w:pPr>
          </w:p>
        </w:tc>
        <w:tc>
          <w:tcPr>
            <w:tcW w:w="1384" w:type="dxa"/>
            <w:tcBorders>
              <w:top w:val="single" w:sz="8" w:space="0" w:color="auto"/>
              <w:left w:val="nil"/>
              <w:bottom w:val="nil"/>
              <w:right w:val="nil"/>
            </w:tcBorders>
            <w:noWrap/>
            <w:vAlign w:val="center"/>
            <w:hideMark/>
          </w:tcPr>
          <w:p w14:paraId="1DCEFDCB" w14:textId="77777777" w:rsidR="00F77258" w:rsidRPr="00FC22AA" w:rsidRDefault="00F77258" w:rsidP="007F622A">
            <w:pPr>
              <w:keepNext/>
              <w:keepLines/>
              <w:spacing w:after="0" w:line="240" w:lineRule="auto"/>
              <w:rPr>
                <w:rFonts w:eastAsia="Times New Roman" w:cstheme="minorHAnsi"/>
                <w:color w:val="000000" w:themeColor="text1"/>
                <w:lang w:val="en-GB" w:eastAsia="es-ES"/>
              </w:rPr>
            </w:pPr>
          </w:p>
        </w:tc>
        <w:tc>
          <w:tcPr>
            <w:tcW w:w="1384" w:type="dxa"/>
            <w:tcBorders>
              <w:top w:val="single" w:sz="8" w:space="0" w:color="auto"/>
              <w:left w:val="nil"/>
              <w:bottom w:val="nil"/>
              <w:right w:val="nil"/>
            </w:tcBorders>
            <w:noWrap/>
            <w:vAlign w:val="center"/>
            <w:hideMark/>
          </w:tcPr>
          <w:p w14:paraId="28EB15DC" w14:textId="77777777" w:rsidR="00F77258" w:rsidRPr="00FC22AA" w:rsidRDefault="00F77258" w:rsidP="007F622A">
            <w:pPr>
              <w:keepNext/>
              <w:keepLines/>
              <w:spacing w:after="0" w:line="240" w:lineRule="auto"/>
              <w:jc w:val="center"/>
              <w:rPr>
                <w:rFonts w:eastAsia="Times New Roman" w:cstheme="minorHAnsi"/>
                <w:color w:val="000000" w:themeColor="text1"/>
                <w:lang w:val="en-GB" w:eastAsia="es-ES"/>
              </w:rPr>
            </w:pPr>
          </w:p>
        </w:tc>
        <w:tc>
          <w:tcPr>
            <w:tcW w:w="1137" w:type="dxa"/>
            <w:tcBorders>
              <w:top w:val="single" w:sz="8" w:space="0" w:color="auto"/>
              <w:left w:val="nil"/>
              <w:bottom w:val="nil"/>
              <w:right w:val="nil"/>
            </w:tcBorders>
            <w:noWrap/>
            <w:vAlign w:val="center"/>
            <w:hideMark/>
          </w:tcPr>
          <w:p w14:paraId="5DB26CD7" w14:textId="77777777" w:rsidR="00F77258" w:rsidRPr="00FC22AA" w:rsidRDefault="00F77258" w:rsidP="007F622A">
            <w:pPr>
              <w:keepNext/>
              <w:keepLines/>
              <w:spacing w:after="0" w:line="240" w:lineRule="auto"/>
              <w:jc w:val="center"/>
              <w:rPr>
                <w:rFonts w:eastAsia="Times New Roman" w:cstheme="minorHAnsi"/>
                <w:color w:val="000000" w:themeColor="text1"/>
                <w:lang w:val="en-GB" w:eastAsia="es-ES"/>
              </w:rPr>
            </w:pPr>
          </w:p>
        </w:tc>
      </w:tr>
      <w:tr w:rsidR="00F77258" w:rsidRPr="00FC22AA" w14:paraId="57666116" w14:textId="77777777" w:rsidTr="007F622A">
        <w:trPr>
          <w:trHeight w:val="57"/>
        </w:trPr>
        <w:tc>
          <w:tcPr>
            <w:tcW w:w="4588" w:type="dxa"/>
            <w:tcBorders>
              <w:top w:val="nil"/>
              <w:left w:val="nil"/>
              <w:right w:val="nil"/>
            </w:tcBorders>
            <w:noWrap/>
            <w:vAlign w:val="center"/>
          </w:tcPr>
          <w:p w14:paraId="0C6CF19F" w14:textId="77777777" w:rsidR="00F77258" w:rsidRPr="00FC22AA" w:rsidRDefault="00F77258" w:rsidP="007F622A">
            <w:pPr>
              <w:keepNext/>
              <w:keepLines/>
              <w:spacing w:after="0" w:line="240" w:lineRule="auto"/>
              <w:rPr>
                <w:rFonts w:eastAsia="Times New Roman" w:cstheme="minorHAnsi"/>
                <w:b/>
                <w:bCs/>
                <w:color w:val="000000" w:themeColor="text1"/>
                <w:lang w:val="en-GB" w:eastAsia="es-ES"/>
              </w:rPr>
            </w:pPr>
          </w:p>
        </w:tc>
        <w:tc>
          <w:tcPr>
            <w:tcW w:w="1384" w:type="dxa"/>
            <w:tcBorders>
              <w:top w:val="nil"/>
              <w:left w:val="nil"/>
              <w:right w:val="nil"/>
            </w:tcBorders>
            <w:noWrap/>
            <w:vAlign w:val="center"/>
          </w:tcPr>
          <w:p w14:paraId="4A7E1164" w14:textId="77777777" w:rsidR="00F77258" w:rsidRPr="00FC22AA" w:rsidRDefault="00F77258" w:rsidP="007F622A">
            <w:pPr>
              <w:keepNext/>
              <w:keepLines/>
              <w:spacing w:after="0" w:line="240" w:lineRule="auto"/>
              <w:jc w:val="right"/>
              <w:rPr>
                <w:rFonts w:eastAsia="Times New Roman" w:cstheme="minorHAnsi"/>
                <w:b/>
                <w:bCs/>
                <w:color w:val="000000" w:themeColor="text1"/>
                <w:lang w:val="en-GB" w:eastAsia="es-ES"/>
              </w:rPr>
            </w:pPr>
          </w:p>
        </w:tc>
        <w:tc>
          <w:tcPr>
            <w:tcW w:w="1384" w:type="dxa"/>
            <w:tcBorders>
              <w:top w:val="nil"/>
              <w:left w:val="nil"/>
              <w:right w:val="nil"/>
            </w:tcBorders>
            <w:noWrap/>
            <w:vAlign w:val="center"/>
          </w:tcPr>
          <w:p w14:paraId="616DFEBF" w14:textId="77777777" w:rsidR="00F77258" w:rsidRPr="00FC22AA" w:rsidRDefault="00F77258" w:rsidP="007F622A">
            <w:pPr>
              <w:keepNext/>
              <w:keepLines/>
              <w:spacing w:after="0" w:line="240" w:lineRule="auto"/>
              <w:jc w:val="right"/>
              <w:rPr>
                <w:rFonts w:eastAsia="Times New Roman" w:cstheme="minorHAnsi"/>
                <w:b/>
                <w:bCs/>
                <w:color w:val="000000" w:themeColor="text1"/>
                <w:lang w:val="en-GB" w:eastAsia="es-ES"/>
              </w:rPr>
            </w:pPr>
          </w:p>
        </w:tc>
        <w:tc>
          <w:tcPr>
            <w:tcW w:w="1137" w:type="dxa"/>
            <w:tcBorders>
              <w:top w:val="nil"/>
              <w:left w:val="nil"/>
              <w:right w:val="nil"/>
            </w:tcBorders>
            <w:noWrap/>
            <w:vAlign w:val="center"/>
          </w:tcPr>
          <w:p w14:paraId="53D2C1EC" w14:textId="77777777" w:rsidR="00F77258" w:rsidRPr="00FC22AA" w:rsidRDefault="00F77258" w:rsidP="007F622A">
            <w:pPr>
              <w:keepNext/>
              <w:keepLines/>
              <w:spacing w:after="0" w:line="240" w:lineRule="auto"/>
              <w:jc w:val="right"/>
              <w:rPr>
                <w:rFonts w:eastAsia="Times New Roman" w:cstheme="minorHAnsi"/>
                <w:b/>
                <w:bCs/>
                <w:color w:val="000000" w:themeColor="text1"/>
                <w:lang w:val="en-GB" w:eastAsia="es-ES"/>
              </w:rPr>
            </w:pPr>
          </w:p>
        </w:tc>
      </w:tr>
      <w:tr w:rsidR="004F4F9D" w:rsidRPr="00FC22AA" w14:paraId="76D3DA78" w14:textId="77777777" w:rsidTr="007F622A">
        <w:trPr>
          <w:trHeight w:val="57"/>
        </w:trPr>
        <w:tc>
          <w:tcPr>
            <w:tcW w:w="4588" w:type="dxa"/>
            <w:tcBorders>
              <w:top w:val="nil"/>
              <w:left w:val="nil"/>
              <w:bottom w:val="single" w:sz="4" w:space="0" w:color="auto"/>
              <w:right w:val="nil"/>
            </w:tcBorders>
            <w:noWrap/>
            <w:vAlign w:val="center"/>
            <w:hideMark/>
          </w:tcPr>
          <w:p w14:paraId="0DA7677B" w14:textId="4DFF0015" w:rsidR="004F4F9D" w:rsidRPr="00FC22AA" w:rsidRDefault="004F4F9D" w:rsidP="004F4F9D">
            <w:pPr>
              <w:keepNext/>
              <w:keepLines/>
              <w:spacing w:after="0" w:line="240" w:lineRule="auto"/>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Chlorine derivatives division</w:t>
            </w:r>
          </w:p>
        </w:tc>
        <w:tc>
          <w:tcPr>
            <w:tcW w:w="1384" w:type="dxa"/>
            <w:tcBorders>
              <w:top w:val="nil"/>
              <w:left w:val="nil"/>
              <w:bottom w:val="single" w:sz="4" w:space="0" w:color="auto"/>
              <w:right w:val="nil"/>
            </w:tcBorders>
            <w:noWrap/>
            <w:vAlign w:val="center"/>
            <w:hideMark/>
          </w:tcPr>
          <w:p w14:paraId="6A398F08" w14:textId="77777777" w:rsidR="004F4F9D" w:rsidRPr="00FC22AA" w:rsidRDefault="004F4F9D" w:rsidP="004F4F9D">
            <w:pPr>
              <w:keepNext/>
              <w:keepLines/>
              <w:spacing w:after="0" w:line="240" w:lineRule="auto"/>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c>
          <w:tcPr>
            <w:tcW w:w="1384" w:type="dxa"/>
            <w:tcBorders>
              <w:top w:val="nil"/>
              <w:left w:val="nil"/>
              <w:bottom w:val="single" w:sz="4" w:space="0" w:color="auto"/>
              <w:right w:val="nil"/>
            </w:tcBorders>
            <w:noWrap/>
            <w:vAlign w:val="center"/>
            <w:hideMark/>
          </w:tcPr>
          <w:p w14:paraId="3D310C55" w14:textId="77777777" w:rsidR="004F4F9D" w:rsidRPr="00FC22AA" w:rsidRDefault="004F4F9D" w:rsidP="004F4F9D">
            <w:pPr>
              <w:keepNext/>
              <w:keepLines/>
              <w:spacing w:after="0" w:line="240" w:lineRule="auto"/>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c>
          <w:tcPr>
            <w:tcW w:w="1137" w:type="dxa"/>
            <w:tcBorders>
              <w:top w:val="nil"/>
              <w:left w:val="nil"/>
              <w:bottom w:val="single" w:sz="4" w:space="0" w:color="auto"/>
              <w:right w:val="nil"/>
            </w:tcBorders>
            <w:noWrap/>
            <w:vAlign w:val="center"/>
            <w:hideMark/>
          </w:tcPr>
          <w:p w14:paraId="1DB2FE56" w14:textId="77777777" w:rsidR="004F4F9D" w:rsidRPr="00FC22AA" w:rsidRDefault="004F4F9D" w:rsidP="004F4F9D">
            <w:pPr>
              <w:keepNext/>
              <w:keepLines/>
              <w:spacing w:after="0" w:line="240" w:lineRule="auto"/>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r>
      <w:tr w:rsidR="004F4F9D" w:rsidRPr="00FC22AA" w14:paraId="36AA9428" w14:textId="77777777" w:rsidTr="007F622A">
        <w:trPr>
          <w:trHeight w:val="57"/>
        </w:trPr>
        <w:tc>
          <w:tcPr>
            <w:tcW w:w="4588" w:type="dxa"/>
            <w:tcBorders>
              <w:top w:val="single" w:sz="4" w:space="0" w:color="auto"/>
              <w:left w:val="nil"/>
              <w:bottom w:val="nil"/>
              <w:right w:val="nil"/>
            </w:tcBorders>
            <w:noWrap/>
            <w:vAlign w:val="center"/>
            <w:hideMark/>
          </w:tcPr>
          <w:p w14:paraId="38711465" w14:textId="4FE8714D"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Product sales</w:t>
            </w:r>
          </w:p>
        </w:tc>
        <w:tc>
          <w:tcPr>
            <w:tcW w:w="1384" w:type="dxa"/>
            <w:tcBorders>
              <w:top w:val="single" w:sz="4" w:space="0" w:color="auto"/>
              <w:left w:val="nil"/>
              <w:bottom w:val="nil"/>
              <w:right w:val="nil"/>
            </w:tcBorders>
            <w:noWrap/>
            <w:vAlign w:val="center"/>
            <w:hideMark/>
          </w:tcPr>
          <w:p w14:paraId="6528489F" w14:textId="66C1363E"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367</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141</w:t>
            </w:r>
          </w:p>
        </w:tc>
        <w:tc>
          <w:tcPr>
            <w:tcW w:w="1384" w:type="dxa"/>
            <w:tcBorders>
              <w:top w:val="single" w:sz="4" w:space="0" w:color="auto"/>
              <w:left w:val="nil"/>
              <w:bottom w:val="nil"/>
              <w:right w:val="nil"/>
            </w:tcBorders>
            <w:noWrap/>
            <w:vAlign w:val="center"/>
            <w:hideMark/>
          </w:tcPr>
          <w:p w14:paraId="5576E51C" w14:textId="5C4DCA92"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386</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224</w:t>
            </w:r>
          </w:p>
        </w:tc>
        <w:tc>
          <w:tcPr>
            <w:tcW w:w="1137" w:type="dxa"/>
            <w:tcBorders>
              <w:top w:val="single" w:sz="4" w:space="0" w:color="auto"/>
              <w:left w:val="nil"/>
              <w:bottom w:val="nil"/>
              <w:right w:val="nil"/>
            </w:tcBorders>
            <w:noWrap/>
            <w:vAlign w:val="center"/>
          </w:tcPr>
          <w:p w14:paraId="4D404BD9" w14:textId="1D8CEC4E"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-4,9</w:t>
            </w:r>
          </w:p>
        </w:tc>
      </w:tr>
      <w:tr w:rsidR="004F4F9D" w:rsidRPr="00FC22AA" w14:paraId="31472320" w14:textId="77777777" w:rsidTr="007F622A">
        <w:trPr>
          <w:trHeight w:val="57"/>
        </w:trPr>
        <w:tc>
          <w:tcPr>
            <w:tcW w:w="4588" w:type="dxa"/>
            <w:tcBorders>
              <w:top w:val="nil"/>
              <w:left w:val="nil"/>
              <w:bottom w:val="nil"/>
              <w:right w:val="nil"/>
            </w:tcBorders>
            <w:noWrap/>
            <w:vAlign w:val="center"/>
            <w:hideMark/>
          </w:tcPr>
          <w:p w14:paraId="49029195" w14:textId="38C77753"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Adjusted ebitda</w:t>
            </w:r>
          </w:p>
        </w:tc>
        <w:tc>
          <w:tcPr>
            <w:tcW w:w="1384" w:type="dxa"/>
            <w:tcBorders>
              <w:top w:val="nil"/>
              <w:left w:val="nil"/>
              <w:bottom w:val="nil"/>
              <w:right w:val="nil"/>
            </w:tcBorders>
            <w:noWrap/>
            <w:vAlign w:val="center"/>
            <w:hideMark/>
          </w:tcPr>
          <w:p w14:paraId="0297CCD0" w14:textId="3DD11C10"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7</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209</w:t>
            </w:r>
          </w:p>
        </w:tc>
        <w:tc>
          <w:tcPr>
            <w:tcW w:w="1384" w:type="dxa"/>
            <w:tcBorders>
              <w:top w:val="nil"/>
              <w:left w:val="nil"/>
              <w:bottom w:val="nil"/>
              <w:right w:val="nil"/>
            </w:tcBorders>
            <w:noWrap/>
            <w:vAlign w:val="center"/>
            <w:hideMark/>
          </w:tcPr>
          <w:p w14:paraId="1498E636" w14:textId="0182FBBE"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12</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452</w:t>
            </w:r>
          </w:p>
        </w:tc>
        <w:tc>
          <w:tcPr>
            <w:tcW w:w="1137" w:type="dxa"/>
            <w:tcBorders>
              <w:top w:val="nil"/>
              <w:left w:val="nil"/>
              <w:bottom w:val="nil"/>
              <w:right w:val="nil"/>
            </w:tcBorders>
            <w:noWrap/>
            <w:vAlign w:val="center"/>
          </w:tcPr>
          <w:p w14:paraId="48C46442" w14:textId="04FC5CA5"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-42,1</w:t>
            </w:r>
          </w:p>
        </w:tc>
      </w:tr>
      <w:tr w:rsidR="004F4F9D" w:rsidRPr="00FC22AA" w14:paraId="2E914EE2" w14:textId="77777777" w:rsidTr="007F622A">
        <w:trPr>
          <w:trHeight w:val="57"/>
        </w:trPr>
        <w:tc>
          <w:tcPr>
            <w:tcW w:w="4588" w:type="dxa"/>
            <w:tcBorders>
              <w:top w:val="nil"/>
              <w:left w:val="nil"/>
              <w:bottom w:val="nil"/>
              <w:right w:val="nil"/>
            </w:tcBorders>
            <w:noWrap/>
            <w:vAlign w:val="center"/>
            <w:hideMark/>
          </w:tcPr>
          <w:p w14:paraId="111B52BA" w14:textId="510C7FD9"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Adjusted ebitda/product sales (%)</w:t>
            </w:r>
          </w:p>
        </w:tc>
        <w:tc>
          <w:tcPr>
            <w:tcW w:w="1384" w:type="dxa"/>
            <w:tcBorders>
              <w:top w:val="nil"/>
              <w:left w:val="nil"/>
              <w:bottom w:val="nil"/>
              <w:right w:val="nil"/>
            </w:tcBorders>
            <w:noWrap/>
            <w:vAlign w:val="center"/>
            <w:hideMark/>
          </w:tcPr>
          <w:p w14:paraId="604163B7" w14:textId="7D16003F"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2</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0</w:t>
            </w:r>
          </w:p>
        </w:tc>
        <w:tc>
          <w:tcPr>
            <w:tcW w:w="1384" w:type="dxa"/>
            <w:tcBorders>
              <w:top w:val="nil"/>
              <w:left w:val="nil"/>
              <w:bottom w:val="nil"/>
              <w:right w:val="nil"/>
            </w:tcBorders>
            <w:noWrap/>
            <w:vAlign w:val="center"/>
            <w:hideMark/>
          </w:tcPr>
          <w:p w14:paraId="479B3B85" w14:textId="389CEFA0"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3</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2</w:t>
            </w:r>
          </w:p>
        </w:tc>
        <w:tc>
          <w:tcPr>
            <w:tcW w:w="1137" w:type="dxa"/>
            <w:tcBorders>
              <w:top w:val="nil"/>
              <w:left w:val="nil"/>
              <w:bottom w:val="nil"/>
              <w:right w:val="nil"/>
            </w:tcBorders>
            <w:noWrap/>
            <w:vAlign w:val="center"/>
          </w:tcPr>
          <w:p w14:paraId="29474791" w14:textId="0CCEE31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-39</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1</w:t>
            </w:r>
          </w:p>
        </w:tc>
      </w:tr>
      <w:tr w:rsidR="004F4F9D" w:rsidRPr="00FC22AA" w14:paraId="63260CB8" w14:textId="77777777" w:rsidTr="007F622A">
        <w:trPr>
          <w:trHeight w:val="57"/>
        </w:trPr>
        <w:tc>
          <w:tcPr>
            <w:tcW w:w="4588" w:type="dxa"/>
            <w:tcBorders>
              <w:top w:val="nil"/>
              <w:left w:val="nil"/>
              <w:bottom w:val="nil"/>
              <w:right w:val="nil"/>
            </w:tcBorders>
            <w:noWrap/>
            <w:vAlign w:val="center"/>
            <w:hideMark/>
          </w:tcPr>
          <w:p w14:paraId="178BF957" w14:textId="77777777" w:rsidR="004F4F9D" w:rsidRPr="00FC22AA" w:rsidRDefault="004F4F9D" w:rsidP="004F4F9D">
            <w:pPr>
              <w:keepNext/>
              <w:keepLines/>
              <w:spacing w:after="0" w:line="240" w:lineRule="auto"/>
              <w:jc w:val="right"/>
              <w:rPr>
                <w:rFonts w:eastAsia="Times New Roman" w:cstheme="minorHAnsi"/>
                <w:color w:val="000000" w:themeColor="text1"/>
                <w:lang w:val="en-GB" w:eastAsia="es-ES"/>
              </w:rPr>
            </w:pPr>
          </w:p>
        </w:tc>
        <w:tc>
          <w:tcPr>
            <w:tcW w:w="1384" w:type="dxa"/>
            <w:tcBorders>
              <w:top w:val="nil"/>
              <w:left w:val="nil"/>
              <w:bottom w:val="nil"/>
              <w:right w:val="nil"/>
            </w:tcBorders>
            <w:noWrap/>
            <w:vAlign w:val="center"/>
            <w:hideMark/>
          </w:tcPr>
          <w:p w14:paraId="6FE92BC9" w14:textId="77777777" w:rsidR="004F4F9D" w:rsidRPr="00FC22AA" w:rsidRDefault="004F4F9D" w:rsidP="004F4F9D">
            <w:pPr>
              <w:keepNext/>
              <w:keepLines/>
              <w:spacing w:after="0" w:line="240" w:lineRule="auto"/>
              <w:ind w:right="227"/>
              <w:rPr>
                <w:rFonts w:eastAsia="Times New Roman" w:cstheme="minorHAnsi"/>
                <w:color w:val="000000" w:themeColor="text1"/>
                <w:lang w:val="en-GB" w:eastAsia="es-ES"/>
              </w:rPr>
            </w:pPr>
          </w:p>
        </w:tc>
        <w:tc>
          <w:tcPr>
            <w:tcW w:w="1384" w:type="dxa"/>
            <w:tcBorders>
              <w:top w:val="nil"/>
              <w:left w:val="nil"/>
              <w:bottom w:val="nil"/>
              <w:right w:val="nil"/>
            </w:tcBorders>
            <w:noWrap/>
            <w:vAlign w:val="center"/>
            <w:hideMark/>
          </w:tcPr>
          <w:p w14:paraId="5F41AC2A"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p>
        </w:tc>
        <w:tc>
          <w:tcPr>
            <w:tcW w:w="1137" w:type="dxa"/>
            <w:tcBorders>
              <w:top w:val="nil"/>
              <w:left w:val="nil"/>
              <w:bottom w:val="nil"/>
              <w:right w:val="nil"/>
            </w:tcBorders>
            <w:noWrap/>
            <w:vAlign w:val="center"/>
            <w:hideMark/>
          </w:tcPr>
          <w:p w14:paraId="7576A1B1"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p>
        </w:tc>
      </w:tr>
      <w:tr w:rsidR="004F4F9D" w:rsidRPr="00FC22AA" w14:paraId="0B31C3AA" w14:textId="77777777" w:rsidTr="007F622A">
        <w:trPr>
          <w:trHeight w:val="57"/>
        </w:trPr>
        <w:tc>
          <w:tcPr>
            <w:tcW w:w="4588" w:type="dxa"/>
            <w:tcBorders>
              <w:top w:val="nil"/>
              <w:left w:val="nil"/>
              <w:right w:val="nil"/>
            </w:tcBorders>
            <w:noWrap/>
            <w:vAlign w:val="center"/>
          </w:tcPr>
          <w:p w14:paraId="45C2CDC7" w14:textId="77777777" w:rsidR="004F4F9D" w:rsidRPr="00FC22AA" w:rsidRDefault="004F4F9D" w:rsidP="004F4F9D">
            <w:pPr>
              <w:keepNext/>
              <w:keepLines/>
              <w:spacing w:after="0" w:line="240" w:lineRule="auto"/>
              <w:rPr>
                <w:rFonts w:eastAsia="Times New Roman" w:cstheme="minorHAnsi"/>
                <w:b/>
                <w:bCs/>
                <w:color w:val="000000" w:themeColor="text1"/>
                <w:lang w:val="en-GB" w:eastAsia="es-ES"/>
              </w:rPr>
            </w:pPr>
          </w:p>
        </w:tc>
        <w:tc>
          <w:tcPr>
            <w:tcW w:w="1384" w:type="dxa"/>
            <w:tcBorders>
              <w:top w:val="nil"/>
              <w:left w:val="nil"/>
              <w:right w:val="nil"/>
            </w:tcBorders>
            <w:noWrap/>
            <w:vAlign w:val="center"/>
          </w:tcPr>
          <w:p w14:paraId="5D5D2A73"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p>
        </w:tc>
        <w:tc>
          <w:tcPr>
            <w:tcW w:w="1384" w:type="dxa"/>
            <w:tcBorders>
              <w:top w:val="nil"/>
              <w:left w:val="nil"/>
              <w:right w:val="nil"/>
            </w:tcBorders>
            <w:noWrap/>
            <w:vAlign w:val="center"/>
          </w:tcPr>
          <w:p w14:paraId="5A3271D7"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p>
        </w:tc>
        <w:tc>
          <w:tcPr>
            <w:tcW w:w="1137" w:type="dxa"/>
            <w:tcBorders>
              <w:top w:val="nil"/>
              <w:left w:val="nil"/>
              <w:right w:val="nil"/>
            </w:tcBorders>
            <w:noWrap/>
            <w:vAlign w:val="center"/>
          </w:tcPr>
          <w:p w14:paraId="5C462CCE"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p>
        </w:tc>
      </w:tr>
      <w:tr w:rsidR="004F4F9D" w:rsidRPr="00FC22AA" w14:paraId="05898A88" w14:textId="77777777" w:rsidTr="007F622A">
        <w:trPr>
          <w:trHeight w:val="57"/>
        </w:trPr>
        <w:tc>
          <w:tcPr>
            <w:tcW w:w="4588" w:type="dxa"/>
            <w:tcBorders>
              <w:top w:val="nil"/>
              <w:left w:val="nil"/>
              <w:bottom w:val="single" w:sz="4" w:space="0" w:color="auto"/>
              <w:right w:val="nil"/>
            </w:tcBorders>
            <w:noWrap/>
            <w:vAlign w:val="center"/>
            <w:hideMark/>
          </w:tcPr>
          <w:p w14:paraId="0F2C08A8" w14:textId="52F7C2DD" w:rsidR="004F4F9D" w:rsidRPr="00FC22AA" w:rsidRDefault="004F4F9D" w:rsidP="004F4F9D">
            <w:pPr>
              <w:keepNext/>
              <w:keepLines/>
              <w:spacing w:after="0" w:line="240" w:lineRule="auto"/>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Intermediate chemicals division</w:t>
            </w:r>
          </w:p>
        </w:tc>
        <w:tc>
          <w:tcPr>
            <w:tcW w:w="1384" w:type="dxa"/>
            <w:tcBorders>
              <w:top w:val="nil"/>
              <w:left w:val="nil"/>
              <w:bottom w:val="single" w:sz="4" w:space="0" w:color="auto"/>
              <w:right w:val="nil"/>
            </w:tcBorders>
            <w:noWrap/>
            <w:vAlign w:val="center"/>
            <w:hideMark/>
          </w:tcPr>
          <w:p w14:paraId="2754DBD7"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c>
          <w:tcPr>
            <w:tcW w:w="1384" w:type="dxa"/>
            <w:tcBorders>
              <w:top w:val="nil"/>
              <w:left w:val="nil"/>
              <w:bottom w:val="single" w:sz="4" w:space="0" w:color="auto"/>
              <w:right w:val="nil"/>
            </w:tcBorders>
            <w:noWrap/>
            <w:vAlign w:val="center"/>
            <w:hideMark/>
          </w:tcPr>
          <w:p w14:paraId="7D829387"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c>
          <w:tcPr>
            <w:tcW w:w="1137" w:type="dxa"/>
            <w:tcBorders>
              <w:top w:val="nil"/>
              <w:left w:val="nil"/>
              <w:bottom w:val="single" w:sz="4" w:space="0" w:color="auto"/>
              <w:right w:val="nil"/>
            </w:tcBorders>
            <w:noWrap/>
            <w:vAlign w:val="center"/>
            <w:hideMark/>
          </w:tcPr>
          <w:p w14:paraId="1562ACBD"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 </w:t>
            </w:r>
          </w:p>
        </w:tc>
      </w:tr>
      <w:tr w:rsidR="004F4F9D" w:rsidRPr="00FC22AA" w14:paraId="7CC268ED" w14:textId="77777777" w:rsidTr="007F622A">
        <w:trPr>
          <w:trHeight w:val="57"/>
        </w:trPr>
        <w:tc>
          <w:tcPr>
            <w:tcW w:w="4588" w:type="dxa"/>
            <w:tcBorders>
              <w:top w:val="single" w:sz="4" w:space="0" w:color="auto"/>
              <w:left w:val="nil"/>
              <w:bottom w:val="nil"/>
              <w:right w:val="nil"/>
            </w:tcBorders>
            <w:noWrap/>
            <w:vAlign w:val="center"/>
            <w:hideMark/>
          </w:tcPr>
          <w:p w14:paraId="08943BE8" w14:textId="1C7DEE78"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Product sales</w:t>
            </w:r>
          </w:p>
        </w:tc>
        <w:tc>
          <w:tcPr>
            <w:tcW w:w="1384" w:type="dxa"/>
            <w:tcBorders>
              <w:top w:val="single" w:sz="4" w:space="0" w:color="auto"/>
              <w:left w:val="nil"/>
              <w:bottom w:val="nil"/>
              <w:right w:val="nil"/>
            </w:tcBorders>
            <w:noWrap/>
            <w:vAlign w:val="center"/>
            <w:hideMark/>
          </w:tcPr>
          <w:p w14:paraId="39CAE51C" w14:textId="3BB226F8"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175</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839</w:t>
            </w:r>
          </w:p>
        </w:tc>
        <w:tc>
          <w:tcPr>
            <w:tcW w:w="1384" w:type="dxa"/>
            <w:tcBorders>
              <w:top w:val="single" w:sz="4" w:space="0" w:color="auto"/>
              <w:left w:val="nil"/>
              <w:bottom w:val="nil"/>
              <w:right w:val="nil"/>
            </w:tcBorders>
            <w:noWrap/>
            <w:vAlign w:val="center"/>
            <w:hideMark/>
          </w:tcPr>
          <w:p w14:paraId="37C434FF" w14:textId="280A9BFB"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194</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558</w:t>
            </w:r>
          </w:p>
        </w:tc>
        <w:tc>
          <w:tcPr>
            <w:tcW w:w="1137" w:type="dxa"/>
            <w:tcBorders>
              <w:top w:val="single" w:sz="4" w:space="0" w:color="auto"/>
              <w:left w:val="nil"/>
              <w:bottom w:val="nil"/>
              <w:right w:val="nil"/>
            </w:tcBorders>
            <w:noWrap/>
            <w:vAlign w:val="center"/>
            <w:hideMark/>
          </w:tcPr>
          <w:p w14:paraId="7D31DB99" w14:textId="0055949F"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-9</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6</w:t>
            </w:r>
          </w:p>
        </w:tc>
      </w:tr>
      <w:tr w:rsidR="004F4F9D" w:rsidRPr="00FC22AA" w14:paraId="295DD3E6" w14:textId="77777777" w:rsidTr="007F622A">
        <w:trPr>
          <w:trHeight w:val="57"/>
        </w:trPr>
        <w:tc>
          <w:tcPr>
            <w:tcW w:w="4588" w:type="dxa"/>
            <w:tcBorders>
              <w:top w:val="nil"/>
              <w:left w:val="nil"/>
              <w:bottom w:val="nil"/>
              <w:right w:val="nil"/>
            </w:tcBorders>
            <w:noWrap/>
            <w:vAlign w:val="center"/>
            <w:hideMark/>
          </w:tcPr>
          <w:p w14:paraId="49403F1D" w14:textId="6EDB9D27"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Adjusted ebitda</w:t>
            </w:r>
          </w:p>
        </w:tc>
        <w:tc>
          <w:tcPr>
            <w:tcW w:w="1384" w:type="dxa"/>
            <w:tcBorders>
              <w:top w:val="nil"/>
              <w:left w:val="nil"/>
              <w:bottom w:val="nil"/>
              <w:right w:val="nil"/>
            </w:tcBorders>
            <w:noWrap/>
            <w:vAlign w:val="center"/>
            <w:hideMark/>
          </w:tcPr>
          <w:p w14:paraId="40C20E7B" w14:textId="685FA2DF"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399</w:t>
            </w:r>
          </w:p>
        </w:tc>
        <w:tc>
          <w:tcPr>
            <w:tcW w:w="1384" w:type="dxa"/>
            <w:tcBorders>
              <w:top w:val="nil"/>
              <w:left w:val="nil"/>
              <w:bottom w:val="nil"/>
              <w:right w:val="nil"/>
            </w:tcBorders>
            <w:noWrap/>
            <w:vAlign w:val="center"/>
            <w:hideMark/>
          </w:tcPr>
          <w:p w14:paraId="6FB26171" w14:textId="5EC7DFCA"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14</w:t>
            </w:r>
            <w:r w:rsidR="00EA6855"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972</w:t>
            </w:r>
          </w:p>
        </w:tc>
        <w:tc>
          <w:tcPr>
            <w:tcW w:w="1137" w:type="dxa"/>
            <w:tcBorders>
              <w:top w:val="nil"/>
              <w:left w:val="nil"/>
              <w:bottom w:val="nil"/>
              <w:right w:val="nil"/>
            </w:tcBorders>
            <w:noWrap/>
            <w:vAlign w:val="center"/>
            <w:hideMark/>
          </w:tcPr>
          <w:p w14:paraId="2951274F" w14:textId="40F133CD"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-97</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3</w:t>
            </w:r>
          </w:p>
        </w:tc>
      </w:tr>
      <w:tr w:rsidR="004F4F9D" w:rsidRPr="00FC22AA" w14:paraId="7F86E34D" w14:textId="77777777" w:rsidTr="007F622A">
        <w:trPr>
          <w:trHeight w:val="57"/>
        </w:trPr>
        <w:tc>
          <w:tcPr>
            <w:tcW w:w="4588" w:type="dxa"/>
            <w:tcBorders>
              <w:top w:val="nil"/>
              <w:left w:val="nil"/>
              <w:bottom w:val="nil"/>
              <w:right w:val="nil"/>
            </w:tcBorders>
            <w:noWrap/>
            <w:vAlign w:val="center"/>
            <w:hideMark/>
          </w:tcPr>
          <w:p w14:paraId="0F96DC00" w14:textId="0D664ABF"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Adjusted ebitda/product sales (%)</w:t>
            </w:r>
          </w:p>
        </w:tc>
        <w:tc>
          <w:tcPr>
            <w:tcW w:w="1384" w:type="dxa"/>
            <w:tcBorders>
              <w:top w:val="nil"/>
              <w:left w:val="nil"/>
              <w:bottom w:val="nil"/>
              <w:right w:val="nil"/>
            </w:tcBorders>
            <w:noWrap/>
            <w:vAlign w:val="center"/>
            <w:hideMark/>
          </w:tcPr>
          <w:p w14:paraId="29829D61" w14:textId="0BC6C496"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0</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2</w:t>
            </w:r>
          </w:p>
        </w:tc>
        <w:tc>
          <w:tcPr>
            <w:tcW w:w="1384" w:type="dxa"/>
            <w:tcBorders>
              <w:top w:val="nil"/>
              <w:left w:val="nil"/>
              <w:bottom w:val="nil"/>
              <w:right w:val="nil"/>
            </w:tcBorders>
            <w:noWrap/>
            <w:vAlign w:val="center"/>
            <w:hideMark/>
          </w:tcPr>
          <w:p w14:paraId="12DC609E" w14:textId="6AFDB509"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7</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7</w:t>
            </w:r>
          </w:p>
        </w:tc>
        <w:tc>
          <w:tcPr>
            <w:tcW w:w="1137" w:type="dxa"/>
            <w:tcBorders>
              <w:top w:val="nil"/>
              <w:left w:val="nil"/>
              <w:bottom w:val="nil"/>
              <w:right w:val="nil"/>
            </w:tcBorders>
            <w:noWrap/>
            <w:vAlign w:val="center"/>
            <w:hideMark/>
          </w:tcPr>
          <w:p w14:paraId="2B7340BA" w14:textId="7C8A7B6A"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-97,1</w:t>
            </w:r>
          </w:p>
        </w:tc>
      </w:tr>
      <w:tr w:rsidR="004F4F9D" w:rsidRPr="00FC22AA" w14:paraId="3E93980E" w14:textId="77777777" w:rsidTr="007F622A">
        <w:trPr>
          <w:trHeight w:val="57"/>
        </w:trPr>
        <w:tc>
          <w:tcPr>
            <w:tcW w:w="4588" w:type="dxa"/>
            <w:tcBorders>
              <w:top w:val="nil"/>
              <w:left w:val="nil"/>
              <w:bottom w:val="nil"/>
              <w:right w:val="nil"/>
            </w:tcBorders>
            <w:noWrap/>
            <w:vAlign w:val="center"/>
            <w:hideMark/>
          </w:tcPr>
          <w:p w14:paraId="74CB08F7" w14:textId="77777777" w:rsidR="004F4F9D" w:rsidRPr="00FC22AA" w:rsidRDefault="004F4F9D" w:rsidP="004F4F9D">
            <w:pPr>
              <w:keepNext/>
              <w:keepLines/>
              <w:spacing w:after="0" w:line="240" w:lineRule="auto"/>
              <w:jc w:val="right"/>
              <w:rPr>
                <w:rFonts w:eastAsia="Times New Roman" w:cstheme="minorHAnsi"/>
                <w:color w:val="000000" w:themeColor="text1"/>
                <w:lang w:val="en-GB" w:eastAsia="es-ES"/>
              </w:rPr>
            </w:pPr>
          </w:p>
        </w:tc>
        <w:tc>
          <w:tcPr>
            <w:tcW w:w="1384" w:type="dxa"/>
            <w:tcBorders>
              <w:top w:val="nil"/>
              <w:left w:val="nil"/>
              <w:bottom w:val="nil"/>
              <w:right w:val="nil"/>
            </w:tcBorders>
            <w:noWrap/>
            <w:vAlign w:val="center"/>
            <w:hideMark/>
          </w:tcPr>
          <w:p w14:paraId="2C23DFA5" w14:textId="77777777" w:rsidR="004F4F9D" w:rsidRPr="00FC22AA" w:rsidRDefault="004F4F9D" w:rsidP="004F4F9D">
            <w:pPr>
              <w:keepNext/>
              <w:keepLines/>
              <w:spacing w:after="0" w:line="240" w:lineRule="auto"/>
              <w:ind w:right="227" w:firstLineChars="100" w:firstLine="220"/>
              <w:rPr>
                <w:rFonts w:eastAsia="Times New Roman" w:cstheme="minorHAnsi"/>
                <w:color w:val="000000" w:themeColor="text1"/>
                <w:lang w:val="en-GB" w:eastAsia="es-ES"/>
              </w:rPr>
            </w:pPr>
          </w:p>
        </w:tc>
        <w:tc>
          <w:tcPr>
            <w:tcW w:w="1384" w:type="dxa"/>
            <w:tcBorders>
              <w:top w:val="nil"/>
              <w:left w:val="nil"/>
              <w:bottom w:val="nil"/>
              <w:right w:val="nil"/>
            </w:tcBorders>
            <w:noWrap/>
            <w:vAlign w:val="center"/>
            <w:hideMark/>
          </w:tcPr>
          <w:p w14:paraId="774796C7"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p>
        </w:tc>
        <w:tc>
          <w:tcPr>
            <w:tcW w:w="1137" w:type="dxa"/>
            <w:tcBorders>
              <w:top w:val="nil"/>
              <w:left w:val="nil"/>
              <w:bottom w:val="nil"/>
              <w:right w:val="nil"/>
            </w:tcBorders>
            <w:noWrap/>
            <w:vAlign w:val="center"/>
            <w:hideMark/>
          </w:tcPr>
          <w:p w14:paraId="10704855"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p>
        </w:tc>
      </w:tr>
      <w:tr w:rsidR="004F4F9D" w:rsidRPr="00FC22AA" w14:paraId="3723C9A0" w14:textId="77777777" w:rsidTr="007F622A">
        <w:trPr>
          <w:trHeight w:val="57"/>
        </w:trPr>
        <w:tc>
          <w:tcPr>
            <w:tcW w:w="4588" w:type="dxa"/>
            <w:tcBorders>
              <w:top w:val="nil"/>
              <w:left w:val="nil"/>
              <w:right w:val="nil"/>
            </w:tcBorders>
            <w:noWrap/>
            <w:vAlign w:val="center"/>
          </w:tcPr>
          <w:p w14:paraId="3F3D2D40" w14:textId="77777777" w:rsidR="004F4F9D" w:rsidRPr="00FC22AA" w:rsidRDefault="004F4F9D" w:rsidP="004F4F9D">
            <w:pPr>
              <w:keepNext/>
              <w:keepLines/>
              <w:spacing w:after="0" w:line="240" w:lineRule="auto"/>
              <w:rPr>
                <w:rFonts w:eastAsia="Times New Roman" w:cstheme="minorHAnsi"/>
                <w:b/>
                <w:bCs/>
                <w:color w:val="000000" w:themeColor="text1"/>
                <w:lang w:val="en-GB" w:eastAsia="es-ES"/>
              </w:rPr>
            </w:pPr>
          </w:p>
        </w:tc>
        <w:tc>
          <w:tcPr>
            <w:tcW w:w="1384" w:type="dxa"/>
            <w:tcBorders>
              <w:top w:val="nil"/>
              <w:left w:val="nil"/>
              <w:right w:val="nil"/>
            </w:tcBorders>
            <w:noWrap/>
            <w:vAlign w:val="center"/>
          </w:tcPr>
          <w:p w14:paraId="28FDB3C3"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p>
        </w:tc>
        <w:tc>
          <w:tcPr>
            <w:tcW w:w="1384" w:type="dxa"/>
            <w:tcBorders>
              <w:top w:val="nil"/>
              <w:left w:val="nil"/>
              <w:right w:val="nil"/>
            </w:tcBorders>
            <w:noWrap/>
            <w:vAlign w:val="center"/>
          </w:tcPr>
          <w:p w14:paraId="27E60C91"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p>
        </w:tc>
        <w:tc>
          <w:tcPr>
            <w:tcW w:w="1137" w:type="dxa"/>
            <w:tcBorders>
              <w:top w:val="nil"/>
              <w:left w:val="nil"/>
              <w:right w:val="nil"/>
            </w:tcBorders>
            <w:noWrap/>
            <w:vAlign w:val="center"/>
          </w:tcPr>
          <w:p w14:paraId="3F7CF084"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p>
        </w:tc>
      </w:tr>
      <w:tr w:rsidR="004F4F9D" w:rsidRPr="00FC22AA" w14:paraId="0705C54A" w14:textId="77777777" w:rsidTr="007F622A">
        <w:trPr>
          <w:trHeight w:val="57"/>
        </w:trPr>
        <w:tc>
          <w:tcPr>
            <w:tcW w:w="4588" w:type="dxa"/>
            <w:tcBorders>
              <w:top w:val="nil"/>
              <w:left w:val="nil"/>
              <w:bottom w:val="single" w:sz="4" w:space="0" w:color="auto"/>
              <w:right w:val="nil"/>
            </w:tcBorders>
            <w:noWrap/>
            <w:vAlign w:val="center"/>
            <w:hideMark/>
          </w:tcPr>
          <w:p w14:paraId="72FAD883" w14:textId="59D36507" w:rsidR="004F4F9D" w:rsidRPr="00FC22AA" w:rsidRDefault="004F4F9D" w:rsidP="004F4F9D">
            <w:pPr>
              <w:keepNext/>
              <w:keepLines/>
              <w:spacing w:after="0" w:line="240" w:lineRule="auto"/>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Pharmaceuticals division</w:t>
            </w:r>
          </w:p>
        </w:tc>
        <w:tc>
          <w:tcPr>
            <w:tcW w:w="1384" w:type="dxa"/>
            <w:tcBorders>
              <w:top w:val="nil"/>
              <w:left w:val="nil"/>
              <w:bottom w:val="single" w:sz="4" w:space="0" w:color="auto"/>
              <w:right w:val="nil"/>
            </w:tcBorders>
            <w:noWrap/>
            <w:vAlign w:val="center"/>
            <w:hideMark/>
          </w:tcPr>
          <w:p w14:paraId="1C510E2E"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c>
          <w:tcPr>
            <w:tcW w:w="1384" w:type="dxa"/>
            <w:tcBorders>
              <w:top w:val="nil"/>
              <w:left w:val="nil"/>
              <w:bottom w:val="single" w:sz="4" w:space="0" w:color="auto"/>
              <w:right w:val="nil"/>
            </w:tcBorders>
            <w:noWrap/>
            <w:vAlign w:val="center"/>
            <w:hideMark/>
          </w:tcPr>
          <w:p w14:paraId="6C99C676" w14:textId="77777777" w:rsidR="004F4F9D" w:rsidRPr="00FC22AA" w:rsidRDefault="004F4F9D" w:rsidP="004F4F9D">
            <w:pPr>
              <w:keepNext/>
              <w:keepLines/>
              <w:spacing w:after="0" w:line="240" w:lineRule="auto"/>
              <w:ind w:right="227"/>
              <w:jc w:val="right"/>
              <w:rPr>
                <w:rFonts w:eastAsia="Times New Roman" w:cstheme="minorHAnsi"/>
                <w:b/>
                <w:bCs/>
                <w:color w:val="000000" w:themeColor="text1"/>
                <w:lang w:val="en-GB" w:eastAsia="es-ES"/>
              </w:rPr>
            </w:pPr>
            <w:r w:rsidRPr="00FC22AA">
              <w:rPr>
                <w:rFonts w:eastAsia="Times New Roman" w:cstheme="minorHAnsi"/>
                <w:b/>
                <w:bCs/>
                <w:color w:val="000000" w:themeColor="text1"/>
                <w:lang w:val="en-GB" w:eastAsia="es-ES"/>
              </w:rPr>
              <w:t> </w:t>
            </w:r>
          </w:p>
        </w:tc>
        <w:tc>
          <w:tcPr>
            <w:tcW w:w="1137" w:type="dxa"/>
            <w:tcBorders>
              <w:top w:val="nil"/>
              <w:left w:val="nil"/>
              <w:bottom w:val="single" w:sz="4" w:space="0" w:color="auto"/>
              <w:right w:val="nil"/>
            </w:tcBorders>
            <w:noWrap/>
            <w:vAlign w:val="center"/>
            <w:hideMark/>
          </w:tcPr>
          <w:p w14:paraId="625F8F35" w14:textId="7777777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 </w:t>
            </w:r>
          </w:p>
        </w:tc>
      </w:tr>
      <w:tr w:rsidR="004F4F9D" w:rsidRPr="00FC22AA" w14:paraId="07EFA83F" w14:textId="77777777" w:rsidTr="007F622A">
        <w:trPr>
          <w:trHeight w:val="57"/>
        </w:trPr>
        <w:tc>
          <w:tcPr>
            <w:tcW w:w="4588" w:type="dxa"/>
            <w:tcBorders>
              <w:top w:val="single" w:sz="4" w:space="0" w:color="auto"/>
              <w:left w:val="nil"/>
              <w:bottom w:val="nil"/>
              <w:right w:val="nil"/>
            </w:tcBorders>
            <w:noWrap/>
            <w:vAlign w:val="center"/>
            <w:hideMark/>
          </w:tcPr>
          <w:p w14:paraId="036E63FB" w14:textId="73CE9126"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Product sales</w:t>
            </w:r>
          </w:p>
        </w:tc>
        <w:tc>
          <w:tcPr>
            <w:tcW w:w="1384" w:type="dxa"/>
            <w:tcBorders>
              <w:top w:val="single" w:sz="4" w:space="0" w:color="auto"/>
              <w:left w:val="nil"/>
              <w:bottom w:val="nil"/>
              <w:right w:val="nil"/>
            </w:tcBorders>
            <w:noWrap/>
            <w:vAlign w:val="center"/>
            <w:hideMark/>
          </w:tcPr>
          <w:p w14:paraId="3CFE3B39" w14:textId="53405CFD"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60</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384</w:t>
            </w:r>
          </w:p>
        </w:tc>
        <w:tc>
          <w:tcPr>
            <w:tcW w:w="1384" w:type="dxa"/>
            <w:tcBorders>
              <w:top w:val="single" w:sz="4" w:space="0" w:color="auto"/>
              <w:left w:val="nil"/>
              <w:bottom w:val="nil"/>
              <w:right w:val="nil"/>
            </w:tcBorders>
            <w:noWrap/>
            <w:vAlign w:val="center"/>
            <w:hideMark/>
          </w:tcPr>
          <w:p w14:paraId="0032C58A" w14:textId="0E4DC467"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62</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644</w:t>
            </w:r>
          </w:p>
        </w:tc>
        <w:tc>
          <w:tcPr>
            <w:tcW w:w="1137" w:type="dxa"/>
            <w:tcBorders>
              <w:top w:val="single" w:sz="4" w:space="0" w:color="auto"/>
              <w:left w:val="nil"/>
              <w:bottom w:val="nil"/>
              <w:right w:val="nil"/>
            </w:tcBorders>
            <w:noWrap/>
            <w:vAlign w:val="center"/>
            <w:hideMark/>
          </w:tcPr>
          <w:p w14:paraId="36D0EBB7" w14:textId="68124BB9"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-3</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6</w:t>
            </w:r>
          </w:p>
        </w:tc>
      </w:tr>
      <w:tr w:rsidR="004F4F9D" w:rsidRPr="00FC22AA" w14:paraId="6391F21D" w14:textId="77777777" w:rsidTr="007F622A">
        <w:trPr>
          <w:trHeight w:val="57"/>
        </w:trPr>
        <w:tc>
          <w:tcPr>
            <w:tcW w:w="4588" w:type="dxa"/>
            <w:tcBorders>
              <w:top w:val="nil"/>
              <w:left w:val="nil"/>
              <w:right w:val="nil"/>
            </w:tcBorders>
            <w:noWrap/>
            <w:vAlign w:val="center"/>
            <w:hideMark/>
          </w:tcPr>
          <w:p w14:paraId="101635CF" w14:textId="5310B207"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Adjusted ebitda</w:t>
            </w:r>
          </w:p>
        </w:tc>
        <w:tc>
          <w:tcPr>
            <w:tcW w:w="1384" w:type="dxa"/>
            <w:tcBorders>
              <w:top w:val="nil"/>
              <w:left w:val="nil"/>
              <w:right w:val="nil"/>
            </w:tcBorders>
            <w:noWrap/>
            <w:vAlign w:val="center"/>
            <w:hideMark/>
          </w:tcPr>
          <w:p w14:paraId="3F1AED2A" w14:textId="0EF466C0"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195</w:t>
            </w:r>
          </w:p>
        </w:tc>
        <w:tc>
          <w:tcPr>
            <w:tcW w:w="1384" w:type="dxa"/>
            <w:tcBorders>
              <w:top w:val="nil"/>
              <w:left w:val="nil"/>
              <w:right w:val="nil"/>
            </w:tcBorders>
            <w:noWrap/>
            <w:vAlign w:val="center"/>
            <w:hideMark/>
          </w:tcPr>
          <w:p w14:paraId="0709291F" w14:textId="048C45F8"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202</w:t>
            </w:r>
          </w:p>
        </w:tc>
        <w:tc>
          <w:tcPr>
            <w:tcW w:w="1137" w:type="dxa"/>
            <w:tcBorders>
              <w:top w:val="nil"/>
              <w:left w:val="nil"/>
              <w:right w:val="nil"/>
            </w:tcBorders>
            <w:noWrap/>
            <w:vAlign w:val="center"/>
            <w:hideMark/>
          </w:tcPr>
          <w:p w14:paraId="057B3AF8" w14:textId="2FAC963E"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-83</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8</w:t>
            </w:r>
          </w:p>
        </w:tc>
      </w:tr>
      <w:tr w:rsidR="004F4F9D" w:rsidRPr="00FC22AA" w14:paraId="2A8023C0" w14:textId="77777777" w:rsidTr="007F622A">
        <w:trPr>
          <w:trHeight w:val="57"/>
        </w:trPr>
        <w:tc>
          <w:tcPr>
            <w:tcW w:w="4588" w:type="dxa"/>
            <w:tcBorders>
              <w:top w:val="nil"/>
              <w:left w:val="nil"/>
              <w:bottom w:val="single" w:sz="8" w:space="0" w:color="auto"/>
              <w:right w:val="nil"/>
            </w:tcBorders>
            <w:noWrap/>
            <w:vAlign w:val="center"/>
            <w:hideMark/>
          </w:tcPr>
          <w:p w14:paraId="71024150" w14:textId="585BF693" w:rsidR="004F4F9D" w:rsidRPr="00FC22AA" w:rsidRDefault="004F4F9D" w:rsidP="004F4F9D">
            <w:pPr>
              <w:keepNext/>
              <w:keepLines/>
              <w:spacing w:after="0" w:line="240" w:lineRule="auto"/>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Adjusted ebitda/product sales (%)</w:t>
            </w:r>
          </w:p>
        </w:tc>
        <w:tc>
          <w:tcPr>
            <w:tcW w:w="1384" w:type="dxa"/>
            <w:tcBorders>
              <w:top w:val="nil"/>
              <w:left w:val="nil"/>
              <w:bottom w:val="single" w:sz="8" w:space="0" w:color="auto"/>
              <w:right w:val="nil"/>
            </w:tcBorders>
            <w:noWrap/>
            <w:vAlign w:val="center"/>
            <w:hideMark/>
          </w:tcPr>
          <w:p w14:paraId="7E9080C9" w14:textId="2B94D918"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0</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3</w:t>
            </w:r>
          </w:p>
        </w:tc>
        <w:tc>
          <w:tcPr>
            <w:tcW w:w="1384" w:type="dxa"/>
            <w:tcBorders>
              <w:top w:val="nil"/>
              <w:left w:val="nil"/>
              <w:bottom w:val="single" w:sz="8" w:space="0" w:color="auto"/>
              <w:right w:val="nil"/>
            </w:tcBorders>
            <w:noWrap/>
            <w:vAlign w:val="center"/>
            <w:hideMark/>
          </w:tcPr>
          <w:p w14:paraId="08A9A06D" w14:textId="64012BC8"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1</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9</w:t>
            </w:r>
          </w:p>
        </w:tc>
        <w:tc>
          <w:tcPr>
            <w:tcW w:w="1137" w:type="dxa"/>
            <w:tcBorders>
              <w:top w:val="nil"/>
              <w:left w:val="nil"/>
              <w:bottom w:val="single" w:sz="8" w:space="0" w:color="auto"/>
              <w:right w:val="nil"/>
            </w:tcBorders>
            <w:noWrap/>
            <w:vAlign w:val="center"/>
            <w:hideMark/>
          </w:tcPr>
          <w:p w14:paraId="6E7C1D62" w14:textId="7C9E53E5" w:rsidR="004F4F9D" w:rsidRPr="00FC22AA" w:rsidRDefault="004F4F9D" w:rsidP="004F4F9D">
            <w:pPr>
              <w:keepNext/>
              <w:keepLines/>
              <w:spacing w:after="0" w:line="240" w:lineRule="auto"/>
              <w:ind w:right="227"/>
              <w:jc w:val="right"/>
              <w:rPr>
                <w:rFonts w:eastAsia="Times New Roman" w:cstheme="minorHAnsi"/>
                <w:color w:val="000000" w:themeColor="text1"/>
                <w:lang w:val="en-GB" w:eastAsia="es-ES"/>
              </w:rPr>
            </w:pPr>
            <w:r w:rsidRPr="00FC22AA">
              <w:rPr>
                <w:rFonts w:eastAsia="Times New Roman" w:cstheme="minorHAnsi"/>
                <w:color w:val="000000" w:themeColor="text1"/>
                <w:lang w:val="en-GB" w:eastAsia="es-ES"/>
              </w:rPr>
              <w:t>-83</w:t>
            </w:r>
            <w:r w:rsidR="005D205C" w:rsidRPr="00FC22AA">
              <w:rPr>
                <w:rFonts w:eastAsia="Times New Roman" w:cstheme="minorHAnsi"/>
                <w:color w:val="000000" w:themeColor="text1"/>
                <w:lang w:val="en-GB" w:eastAsia="es-ES"/>
              </w:rPr>
              <w:t>.</w:t>
            </w:r>
            <w:r w:rsidRPr="00FC22AA">
              <w:rPr>
                <w:rFonts w:eastAsia="Times New Roman" w:cstheme="minorHAnsi"/>
                <w:color w:val="000000" w:themeColor="text1"/>
                <w:lang w:val="en-GB" w:eastAsia="es-ES"/>
              </w:rPr>
              <w:t>2</w:t>
            </w:r>
          </w:p>
        </w:tc>
      </w:tr>
    </w:tbl>
    <w:p w14:paraId="20093E3B" w14:textId="77777777" w:rsidR="0098179F" w:rsidRDefault="0098179F" w:rsidP="00EE5F40">
      <w:pPr>
        <w:spacing w:after="0" w:line="240" w:lineRule="auto"/>
        <w:rPr>
          <w:b/>
          <w:bCs/>
          <w:lang w:val="en-GB"/>
        </w:rPr>
      </w:pPr>
      <w:bookmarkStart w:id="7" w:name="_Hlk77439503"/>
      <w:bookmarkEnd w:id="6"/>
    </w:p>
    <w:p w14:paraId="61439ACE" w14:textId="77777777" w:rsidR="00EE5F40" w:rsidRDefault="00EE5F40" w:rsidP="00EE5F40">
      <w:pPr>
        <w:spacing w:after="0" w:line="240" w:lineRule="auto"/>
        <w:rPr>
          <w:b/>
          <w:bCs/>
          <w:lang w:val="en-GB"/>
        </w:rPr>
      </w:pPr>
    </w:p>
    <w:p w14:paraId="2526F4A0" w14:textId="77777777" w:rsidR="00EE5F40" w:rsidRPr="00EE5F40" w:rsidRDefault="00EE5F40" w:rsidP="00EE5F40">
      <w:pPr>
        <w:spacing w:after="0" w:line="240" w:lineRule="auto"/>
        <w:rPr>
          <w:b/>
          <w:bCs/>
          <w:lang w:val="en-GB"/>
        </w:rPr>
      </w:pPr>
    </w:p>
    <w:p w14:paraId="4A7C802D" w14:textId="77777777" w:rsidR="00781D79" w:rsidRPr="00FC22AA" w:rsidRDefault="00781D79" w:rsidP="00781D79">
      <w:pPr>
        <w:pStyle w:val="Prrafodelista"/>
        <w:numPr>
          <w:ilvl w:val="0"/>
          <w:numId w:val="33"/>
        </w:numPr>
        <w:spacing w:after="0" w:line="240" w:lineRule="auto"/>
        <w:ind w:left="851" w:hanging="567"/>
        <w:jc w:val="both"/>
        <w:rPr>
          <w:b/>
          <w:bCs/>
          <w:lang w:val="en-GB"/>
        </w:rPr>
      </w:pPr>
      <w:r w:rsidRPr="00FC22AA">
        <w:rPr>
          <w:b/>
          <w:bCs/>
          <w:lang w:val="en-GB"/>
        </w:rPr>
        <w:t>EXPANDED DIVERSIFICATION, DIGITALISATION AND DECARBONISATION PLAN: THE 3D PLAN</w:t>
      </w:r>
    </w:p>
    <w:p w14:paraId="5B204201" w14:textId="77777777" w:rsidR="00781D79" w:rsidRPr="00FC22AA" w:rsidRDefault="00781D79" w:rsidP="00781D79">
      <w:pPr>
        <w:pStyle w:val="Default"/>
        <w:jc w:val="both"/>
        <w:rPr>
          <w:color w:val="000000" w:themeColor="text1"/>
          <w:lang w:val="en-GB"/>
        </w:rPr>
      </w:pPr>
    </w:p>
    <w:p w14:paraId="254E186A" w14:textId="7BBD528A" w:rsidR="00781D79" w:rsidRPr="00FC22AA" w:rsidRDefault="00781D79" w:rsidP="00781D79">
      <w:pPr>
        <w:pStyle w:val="Default"/>
        <w:jc w:val="both"/>
        <w:rPr>
          <w:color w:val="000000" w:themeColor="text1"/>
          <w:lang w:val="en-GB"/>
        </w:rPr>
      </w:pPr>
      <w:r w:rsidRPr="00FC22AA">
        <w:rPr>
          <w:color w:val="000000" w:themeColor="text1"/>
          <w:lang w:val="en-GB"/>
        </w:rPr>
        <w:t xml:space="preserve">In the diversification dimension, during the 2021–2025 period, the following projects entered into operation: the expansion of polyols production capacity at the Tortosa plant; the expansion of moulding </w:t>
      </w:r>
      <w:r w:rsidR="005D205C" w:rsidRPr="00FC22AA">
        <w:rPr>
          <w:color w:val="000000" w:themeColor="text1"/>
          <w:lang w:val="en-GB"/>
        </w:rPr>
        <w:t>compounds</w:t>
      </w:r>
      <w:r w:rsidRPr="00FC22AA">
        <w:rPr>
          <w:color w:val="000000" w:themeColor="text1"/>
          <w:lang w:val="en-GB"/>
        </w:rPr>
        <w:t xml:space="preserve"> production at the Cerdanyola plant; the expansion of fosfomycin trometamol, gentam</w:t>
      </w:r>
      <w:r w:rsidR="005D205C" w:rsidRPr="00FC22AA">
        <w:rPr>
          <w:color w:val="000000" w:themeColor="text1"/>
          <w:lang w:val="en-GB"/>
        </w:rPr>
        <w:t>y</w:t>
      </w:r>
      <w:r w:rsidRPr="00FC22AA">
        <w:rPr>
          <w:color w:val="000000" w:themeColor="text1"/>
          <w:lang w:val="en-GB"/>
        </w:rPr>
        <w:t xml:space="preserve">cin and sterile </w:t>
      </w:r>
      <w:r w:rsidR="005D205C" w:rsidRPr="00FC22AA">
        <w:rPr>
          <w:color w:val="000000" w:themeColor="text1"/>
          <w:lang w:val="en-GB"/>
        </w:rPr>
        <w:t>micronized</w:t>
      </w:r>
      <w:r w:rsidRPr="00FC22AA">
        <w:rPr>
          <w:color w:val="000000" w:themeColor="text1"/>
          <w:lang w:val="en-GB"/>
        </w:rPr>
        <w:t xml:space="preserve"> fusidic acid production in Aranjuez; the expansion of </w:t>
      </w:r>
      <w:r w:rsidR="005D205C" w:rsidRPr="00FC22AA">
        <w:rPr>
          <w:color w:val="000000" w:themeColor="text1"/>
          <w:lang w:val="en-GB"/>
        </w:rPr>
        <w:t>TCCA</w:t>
      </w:r>
      <w:r w:rsidRPr="00FC22AA">
        <w:rPr>
          <w:color w:val="000000" w:themeColor="text1"/>
          <w:lang w:val="en-GB"/>
        </w:rPr>
        <w:t xml:space="preserve"> capacity at the Sabiñánigo plant; and the industrial scale</w:t>
      </w:r>
      <w:r w:rsidRPr="00FC22AA">
        <w:rPr>
          <w:color w:val="000000" w:themeColor="text1"/>
          <w:lang w:val="en-GB"/>
        </w:rPr>
        <w:noBreakHyphen/>
        <w:t>up of the fermentation and extraction processes for the new antibiotic vancomycin at the extraction plant in Aranjuez,</w:t>
      </w:r>
      <w:r w:rsidR="00D42DDE" w:rsidRPr="00604A82">
        <w:rPr>
          <w:lang w:val="en-GB"/>
        </w:rPr>
        <w:t xml:space="preserve"> </w:t>
      </w:r>
      <w:r w:rsidR="00D42DDE" w:rsidRPr="00FC22AA">
        <w:rPr>
          <w:color w:val="000000" w:themeColor="text1"/>
          <w:lang w:val="en-GB"/>
        </w:rPr>
        <w:t>currently under validation.</w:t>
      </w:r>
      <w:r w:rsidRPr="00FC22AA">
        <w:rPr>
          <w:color w:val="000000" w:themeColor="text1"/>
          <w:lang w:val="en-GB"/>
        </w:rPr>
        <w:t xml:space="preserve"> </w:t>
      </w:r>
    </w:p>
    <w:p w14:paraId="7B36E7E4" w14:textId="77777777" w:rsidR="00781D79" w:rsidRPr="00FC22AA" w:rsidRDefault="00781D79" w:rsidP="00781D79">
      <w:pPr>
        <w:pStyle w:val="Default"/>
        <w:jc w:val="both"/>
        <w:rPr>
          <w:color w:val="000000" w:themeColor="text1"/>
          <w:lang w:val="en-GB"/>
        </w:rPr>
      </w:pPr>
    </w:p>
    <w:p w14:paraId="400B5AB9" w14:textId="5941C4CD" w:rsidR="00781D79" w:rsidRPr="00FC22AA" w:rsidRDefault="003123BB" w:rsidP="00781D79">
      <w:pPr>
        <w:pStyle w:val="Default"/>
        <w:jc w:val="both"/>
        <w:rPr>
          <w:color w:val="000000" w:themeColor="text1"/>
          <w:lang w:val="en-GB"/>
        </w:rPr>
      </w:pPr>
      <w:r w:rsidRPr="00FC22AA">
        <w:rPr>
          <w:color w:val="000000" w:themeColor="text1"/>
          <w:lang w:val="en-GB"/>
        </w:rPr>
        <w:t>Regarding</w:t>
      </w:r>
      <w:r w:rsidR="00781D79" w:rsidRPr="00FC22AA">
        <w:rPr>
          <w:color w:val="000000" w:themeColor="text1"/>
          <w:lang w:val="en-GB"/>
        </w:rPr>
        <w:t xml:space="preserve"> the digitalisation dimension, the following projects, among others, have been completed: </w:t>
      </w:r>
      <w:r w:rsidRPr="00FC22AA">
        <w:rPr>
          <w:color w:val="000000" w:themeColor="text1"/>
          <w:lang w:val="en-GB"/>
        </w:rPr>
        <w:t>b</w:t>
      </w:r>
      <w:r w:rsidR="00781D79" w:rsidRPr="00FC22AA">
        <w:rPr>
          <w:color w:val="000000" w:themeColor="text1"/>
          <w:lang w:val="en-GB"/>
        </w:rPr>
        <w:t xml:space="preserve">usiness </w:t>
      </w:r>
      <w:r w:rsidRPr="00FC22AA">
        <w:rPr>
          <w:color w:val="000000" w:themeColor="text1"/>
          <w:lang w:val="en-GB"/>
        </w:rPr>
        <w:t>i</w:t>
      </w:r>
      <w:r w:rsidR="00781D79" w:rsidRPr="00FC22AA">
        <w:rPr>
          <w:color w:val="000000" w:themeColor="text1"/>
          <w:lang w:val="en-GB"/>
        </w:rPr>
        <w:t>ntelligence systems for the procurement, logistics, production and maintenance areas; tracking and monitoring systems for containers shipped by sea and for land</w:t>
      </w:r>
      <w:r w:rsidR="00781D79" w:rsidRPr="00FC22AA">
        <w:rPr>
          <w:color w:val="000000" w:themeColor="text1"/>
          <w:lang w:val="en-GB"/>
        </w:rPr>
        <w:noBreakHyphen/>
        <w:t>based shipments; and mobility solutions in industrial environments (work permits and meter readings). Big Data and IoT, mobility and logistics, infrastructure improvement, cybersecurity, workplace optimisation and automation projects continue to progress, as well as the sensorisation and upgrading of control systems in the production area.</w:t>
      </w:r>
    </w:p>
    <w:p w14:paraId="1A7B4B31" w14:textId="77777777" w:rsidR="00781D79" w:rsidRPr="00FC22AA" w:rsidRDefault="00781D79" w:rsidP="00781D79">
      <w:pPr>
        <w:pStyle w:val="Default"/>
        <w:jc w:val="both"/>
        <w:rPr>
          <w:color w:val="000000" w:themeColor="text1"/>
          <w:lang w:val="en-GB"/>
        </w:rPr>
      </w:pPr>
    </w:p>
    <w:p w14:paraId="0EA4383D" w14:textId="7CC489A0" w:rsidR="00781D79" w:rsidRPr="00FC22AA" w:rsidRDefault="00781D79" w:rsidP="00781D79">
      <w:pPr>
        <w:pStyle w:val="Default"/>
        <w:jc w:val="both"/>
        <w:rPr>
          <w:color w:val="000000" w:themeColor="text1"/>
          <w:lang w:val="en-GB"/>
        </w:rPr>
      </w:pPr>
      <w:r w:rsidRPr="00FC22AA">
        <w:rPr>
          <w:color w:val="000000" w:themeColor="text1"/>
          <w:lang w:val="en-GB"/>
        </w:rPr>
        <w:t>In the decarbonisation dimension, during the 2021–2025 period the following projects were completed: (i) improvements in energy efficiency in Tortosa and optimisation of energy consumption in Cerdanyola; (ii) replacement of lighting with LED technology at Ercros plants; (iii) optimisation of chemical product and raw material consumption in Aranjuez; (iv) improved utilisation of hydrogen in Sabiñánigo, Vila</w:t>
      </w:r>
      <w:r w:rsidRPr="00FC22AA">
        <w:rPr>
          <w:color w:val="000000" w:themeColor="text1"/>
          <w:lang w:val="en-GB"/>
        </w:rPr>
        <w:noBreakHyphen/>
        <w:t>seca I and Vila</w:t>
      </w:r>
      <w:r w:rsidRPr="00FC22AA">
        <w:rPr>
          <w:color w:val="000000" w:themeColor="text1"/>
          <w:lang w:val="en-GB"/>
        </w:rPr>
        <w:noBreakHyphen/>
        <w:t xml:space="preserve">seca II; (v) salt recrystallisation in Sabiñánigo; (vi) recycling of moulding </w:t>
      </w:r>
      <w:r w:rsidR="005D205C" w:rsidRPr="00FC22AA">
        <w:rPr>
          <w:color w:val="000000" w:themeColor="text1"/>
          <w:lang w:val="en-GB"/>
        </w:rPr>
        <w:t>compounds</w:t>
      </w:r>
      <w:r w:rsidRPr="00FC22AA">
        <w:rPr>
          <w:color w:val="000000" w:themeColor="text1"/>
          <w:lang w:val="en-GB"/>
        </w:rPr>
        <w:t xml:space="preserve"> in Cerdanyola; and (vii) photovoltaic parks in Flix and Monzón. In addition, decarbonisation projects included in the PERTE programme have been launched: steam production using an electric boiler in Vila</w:t>
      </w:r>
      <w:r w:rsidRPr="00FC22AA">
        <w:rPr>
          <w:color w:val="000000" w:themeColor="text1"/>
          <w:lang w:val="en-GB"/>
        </w:rPr>
        <w:noBreakHyphen/>
        <w:t>seca I; steam generation using biomass at the Vila</w:t>
      </w:r>
      <w:r w:rsidRPr="00FC22AA">
        <w:rPr>
          <w:color w:val="000000" w:themeColor="text1"/>
          <w:lang w:val="en-GB"/>
        </w:rPr>
        <w:noBreakHyphen/>
        <w:t>seca II plant; heat recovery and reuse at the VCM and PVC plants in Vila</w:t>
      </w:r>
      <w:r w:rsidRPr="00FC22AA">
        <w:rPr>
          <w:color w:val="000000" w:themeColor="text1"/>
          <w:lang w:val="en-GB"/>
        </w:rPr>
        <w:noBreakHyphen/>
        <w:t>seca II; and improved utilisation of hydrogen (phase two) produced in Vila</w:t>
      </w:r>
      <w:r w:rsidRPr="00FC22AA">
        <w:rPr>
          <w:color w:val="000000" w:themeColor="text1"/>
          <w:lang w:val="en-GB"/>
        </w:rPr>
        <w:noBreakHyphen/>
        <w:t>seca I.</w:t>
      </w:r>
    </w:p>
    <w:p w14:paraId="5E171711" w14:textId="77777777" w:rsidR="00954959" w:rsidRPr="00FC22AA" w:rsidRDefault="00954959" w:rsidP="00954959">
      <w:pPr>
        <w:pStyle w:val="Textoindependiente"/>
        <w:contextualSpacing w:val="0"/>
        <w:rPr>
          <w:b/>
          <w:bCs/>
          <w:color w:val="auto"/>
          <w:lang w:val="en-GB"/>
        </w:rPr>
      </w:pPr>
    </w:p>
    <w:p w14:paraId="5040391D" w14:textId="77777777" w:rsidR="003123BB" w:rsidRDefault="003123BB" w:rsidP="00954959">
      <w:pPr>
        <w:pStyle w:val="Textoindependiente"/>
        <w:contextualSpacing w:val="0"/>
        <w:rPr>
          <w:b/>
          <w:bCs/>
          <w:color w:val="auto"/>
          <w:lang w:val="en-GB"/>
        </w:rPr>
      </w:pPr>
    </w:p>
    <w:p w14:paraId="575238BB" w14:textId="77777777" w:rsidR="00EE5F40" w:rsidRPr="00FC22AA" w:rsidRDefault="00EE5F40" w:rsidP="00954959">
      <w:pPr>
        <w:pStyle w:val="Textoindependiente"/>
        <w:contextualSpacing w:val="0"/>
        <w:rPr>
          <w:b/>
          <w:bCs/>
          <w:color w:val="auto"/>
          <w:lang w:val="en-GB"/>
        </w:rPr>
      </w:pPr>
    </w:p>
    <w:p w14:paraId="41021C72" w14:textId="77777777" w:rsidR="00781D79" w:rsidRPr="00FC22AA" w:rsidRDefault="00781D79" w:rsidP="00781D79">
      <w:pPr>
        <w:pStyle w:val="Prrafodelista"/>
        <w:numPr>
          <w:ilvl w:val="0"/>
          <w:numId w:val="33"/>
        </w:numPr>
        <w:spacing w:after="0" w:line="240" w:lineRule="auto"/>
        <w:ind w:left="851" w:hanging="567"/>
        <w:jc w:val="both"/>
        <w:rPr>
          <w:b/>
          <w:bCs/>
          <w:lang w:val="en-GB"/>
        </w:rPr>
      </w:pPr>
      <w:r w:rsidRPr="00FC22AA">
        <w:rPr>
          <w:b/>
          <w:bCs/>
          <w:lang w:val="en-GB"/>
        </w:rPr>
        <w:t>FULFILMENT OF THE FORECAST</w:t>
      </w:r>
    </w:p>
    <w:p w14:paraId="61FCDF92" w14:textId="77777777" w:rsidR="00781D79" w:rsidRPr="00FC22AA" w:rsidRDefault="00781D79" w:rsidP="00781D79">
      <w:pPr>
        <w:pStyle w:val="Textoindependiente"/>
        <w:keepNext/>
        <w:keepLines/>
        <w:rPr>
          <w:b/>
          <w:bCs/>
          <w:lang w:val="en-GB"/>
        </w:rPr>
      </w:pPr>
    </w:p>
    <w:p w14:paraId="090A0E5E" w14:textId="27B4E689" w:rsidR="00781D79" w:rsidRPr="00FC22AA" w:rsidRDefault="00781D79" w:rsidP="00781D79">
      <w:pPr>
        <w:pStyle w:val="Textoindependiente"/>
        <w:keepNext/>
        <w:keepLines/>
        <w:rPr>
          <w:rFonts w:ascii="Calibri" w:hAnsi="Calibri" w:cs="Calibri"/>
          <w:sz w:val="24"/>
          <w:szCs w:val="24"/>
          <w:lang w:val="en-GB"/>
        </w:rPr>
      </w:pPr>
      <w:r w:rsidRPr="00FC22AA">
        <w:rPr>
          <w:rFonts w:ascii="Calibri" w:hAnsi="Calibri" w:cs="Calibri"/>
          <w:sz w:val="24"/>
          <w:szCs w:val="24"/>
          <w:lang w:val="en-GB"/>
        </w:rPr>
        <w:t>The table below details the actual figures obtained in 2025 for finished goods sales, contribution, adjusted ebitda and net profit (loss), alongside the company’s 2025 forecast as published in the third</w:t>
      </w:r>
      <w:r w:rsidRPr="00FC22AA">
        <w:rPr>
          <w:rFonts w:ascii="Calibri" w:hAnsi="Calibri" w:cs="Calibri"/>
          <w:sz w:val="24"/>
          <w:szCs w:val="24"/>
          <w:lang w:val="en-GB"/>
        </w:rPr>
        <w:noBreakHyphen/>
        <w:t>quarter results release.</w:t>
      </w:r>
    </w:p>
    <w:p w14:paraId="7EDE0D65" w14:textId="77777777" w:rsidR="00781D79" w:rsidRPr="00FC22AA" w:rsidRDefault="00781D79" w:rsidP="00781D79">
      <w:pPr>
        <w:pStyle w:val="Textoindependiente"/>
        <w:keepNext/>
        <w:keepLines/>
        <w:rPr>
          <w:rFonts w:ascii="Calibri" w:hAnsi="Calibri" w:cs="Calibri"/>
          <w:sz w:val="24"/>
          <w:szCs w:val="24"/>
          <w:lang w:val="en-GB"/>
        </w:rPr>
      </w:pPr>
    </w:p>
    <w:p w14:paraId="61D5F487" w14:textId="4887052B" w:rsidR="00781D79" w:rsidRPr="00FC22AA" w:rsidRDefault="00781D79" w:rsidP="00781D79">
      <w:pPr>
        <w:pStyle w:val="Textoindependiente"/>
        <w:keepNext/>
        <w:keepLines/>
        <w:rPr>
          <w:rFonts w:ascii="Calibri" w:hAnsi="Calibri" w:cs="Calibri"/>
          <w:sz w:val="24"/>
          <w:szCs w:val="24"/>
          <w:lang w:val="en-GB"/>
        </w:rPr>
      </w:pPr>
      <w:r w:rsidRPr="00FC22AA">
        <w:rPr>
          <w:rFonts w:ascii="Calibri" w:hAnsi="Calibri" w:cs="Calibri"/>
          <w:sz w:val="24"/>
          <w:szCs w:val="24"/>
          <w:lang w:val="en-GB"/>
        </w:rPr>
        <w:t>As can be seen, Ercros met its forecast regarding finished goods sales, but did not meet the forecast for contribution, adjusted ebitda or net profit, which came in slightly below the lower end of the forecast range.</w:t>
      </w:r>
    </w:p>
    <w:p w14:paraId="2B146582" w14:textId="77777777" w:rsidR="00781D79" w:rsidRPr="00FC22AA" w:rsidRDefault="00781D79" w:rsidP="00781D79">
      <w:pPr>
        <w:pStyle w:val="Textoindependiente"/>
        <w:keepNext/>
        <w:keepLines/>
        <w:rPr>
          <w:rFonts w:ascii="Calibri" w:hAnsi="Calibri" w:cs="Calibri"/>
          <w:sz w:val="24"/>
          <w:szCs w:val="24"/>
          <w:lang w:val="en-GB"/>
        </w:rPr>
      </w:pPr>
    </w:p>
    <w:p w14:paraId="6812CAB6" w14:textId="77BD746B" w:rsidR="00781D79" w:rsidRPr="00FC22AA" w:rsidRDefault="00781D79" w:rsidP="00781D79">
      <w:pPr>
        <w:pStyle w:val="Textoindependiente"/>
        <w:keepNext/>
        <w:keepLines/>
        <w:rPr>
          <w:rFonts w:ascii="Calibri" w:hAnsi="Calibri" w:cs="Calibri"/>
          <w:sz w:val="24"/>
          <w:szCs w:val="24"/>
          <w:lang w:val="en-GB"/>
        </w:rPr>
      </w:pPr>
      <w:r w:rsidRPr="00FC22AA">
        <w:rPr>
          <w:rFonts w:ascii="Calibri" w:hAnsi="Calibri" w:cs="Calibri"/>
          <w:sz w:val="24"/>
          <w:szCs w:val="24"/>
          <w:lang w:val="en-GB"/>
        </w:rPr>
        <w:t>Finished goods sales amounted to EUR 603.36 million, within the forecast range of [595 – 610]. Contribution, at EUR 198.13 million, was slightly below the lower end of the forecast range [200 – 205]. Adjusted ebitda, at EUR 7.8 million, fell short of the forecast range [10 – 15]. Finally, the net loss for the year, EUR 53.6 million, exceeded the forecast range [45 – 50].</w:t>
      </w:r>
    </w:p>
    <w:p w14:paraId="1C942016" w14:textId="77777777" w:rsidR="00BE015F" w:rsidRPr="00FC22AA" w:rsidRDefault="00BE015F" w:rsidP="00BE015F">
      <w:pPr>
        <w:pStyle w:val="Textoindependiente"/>
        <w:keepNext/>
        <w:keepLines/>
        <w:contextualSpacing w:val="0"/>
        <w:rPr>
          <w:b/>
          <w:bCs/>
          <w:color w:val="auto"/>
          <w:u w:val="single"/>
          <w:lang w:val="en-GB"/>
        </w:rPr>
      </w:pPr>
    </w:p>
    <w:p w14:paraId="7B53D4A9" w14:textId="3A281C5D" w:rsidR="00BE015F" w:rsidRPr="00FC22AA" w:rsidRDefault="00781D79" w:rsidP="00795E62">
      <w:pPr>
        <w:pStyle w:val="Textoindependiente"/>
        <w:keepNext/>
        <w:keepLines/>
        <w:contextualSpacing w:val="0"/>
        <w:rPr>
          <w:b/>
          <w:bCs/>
          <w:color w:val="auto"/>
          <w:u w:val="single"/>
          <w:lang w:val="en-GB"/>
        </w:rPr>
      </w:pPr>
      <w:r w:rsidRPr="00FC22AA">
        <w:rPr>
          <w:b/>
          <w:bCs/>
          <w:color w:val="auto"/>
          <w:u w:val="single"/>
          <w:lang w:val="en-GB"/>
        </w:rPr>
        <w:t>2025 FORECAST AND ACTUAL RESULTS</w:t>
      </w:r>
    </w:p>
    <w:p w14:paraId="4B1B19AF" w14:textId="77777777" w:rsidR="00781D79" w:rsidRPr="00FC22AA" w:rsidRDefault="00781D79" w:rsidP="00795E62">
      <w:pPr>
        <w:pStyle w:val="Textoindependiente"/>
        <w:keepNext/>
        <w:keepLines/>
        <w:contextualSpacing w:val="0"/>
        <w:rPr>
          <w:b/>
          <w:bCs/>
          <w:color w:val="auto"/>
          <w:u w:val="single"/>
          <w:lang w:val="en-GB"/>
        </w:rPr>
      </w:pP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1760"/>
        <w:gridCol w:w="2156"/>
      </w:tblGrid>
      <w:tr w:rsidR="004F4F9D" w:rsidRPr="00FC22AA" w14:paraId="5B803E2B" w14:textId="77777777" w:rsidTr="00AC43A3">
        <w:trPr>
          <w:trHeight w:val="57"/>
          <w:jc w:val="center"/>
        </w:trPr>
        <w:tc>
          <w:tcPr>
            <w:tcW w:w="4589" w:type="dxa"/>
            <w:tcBorders>
              <w:bottom w:val="single" w:sz="8" w:space="0" w:color="auto"/>
            </w:tcBorders>
            <w:noWrap/>
            <w:vAlign w:val="bottom"/>
            <w:hideMark/>
          </w:tcPr>
          <w:p w14:paraId="5A1249CF" w14:textId="7FE9AE03" w:rsidR="004F4F9D" w:rsidRPr="00FC22AA" w:rsidRDefault="004F4F9D" w:rsidP="004F4F9D">
            <w:pPr>
              <w:keepNext/>
              <w:keepLines/>
              <w:rPr>
                <w:b/>
                <w:bCs/>
                <w:lang w:val="en-GB"/>
              </w:rPr>
            </w:pPr>
            <w:r w:rsidRPr="00FC22AA">
              <w:rPr>
                <w:rFonts w:ascii="Calibri" w:eastAsia="Times New Roman" w:hAnsi="Calibri" w:cs="Calibri"/>
                <w:b/>
                <w:bCs/>
                <w:lang w:val="en-GB" w:eastAsia="es-ES"/>
              </w:rPr>
              <w:t>Millions of euros</w:t>
            </w:r>
          </w:p>
        </w:tc>
        <w:tc>
          <w:tcPr>
            <w:tcW w:w="1760" w:type="dxa"/>
            <w:tcBorders>
              <w:bottom w:val="single" w:sz="8" w:space="0" w:color="auto"/>
            </w:tcBorders>
            <w:noWrap/>
            <w:hideMark/>
          </w:tcPr>
          <w:p w14:paraId="0AA67221" w14:textId="127301B1" w:rsidR="004F4F9D" w:rsidRPr="00FC22AA" w:rsidRDefault="004F4F9D" w:rsidP="004F4F9D">
            <w:pPr>
              <w:keepNext/>
              <w:keepLines/>
              <w:jc w:val="center"/>
              <w:rPr>
                <w:b/>
                <w:bCs/>
                <w:lang w:val="en-GB"/>
              </w:rPr>
            </w:pPr>
            <w:r w:rsidRPr="00FC22AA">
              <w:rPr>
                <w:rFonts w:ascii="Calibri" w:eastAsia="Times New Roman" w:hAnsi="Calibri" w:cs="Calibri"/>
                <w:b/>
                <w:bCs/>
                <w:lang w:val="en-GB" w:eastAsia="es-ES"/>
              </w:rPr>
              <w:t>Forecast</w:t>
            </w:r>
          </w:p>
        </w:tc>
        <w:tc>
          <w:tcPr>
            <w:tcW w:w="2156" w:type="dxa"/>
            <w:tcBorders>
              <w:bottom w:val="single" w:sz="8" w:space="0" w:color="auto"/>
            </w:tcBorders>
            <w:noWrap/>
            <w:hideMark/>
          </w:tcPr>
          <w:p w14:paraId="2E750CFE" w14:textId="2DBE472E" w:rsidR="004F4F9D" w:rsidRPr="00FC22AA" w:rsidRDefault="005D205C" w:rsidP="004F4F9D">
            <w:pPr>
              <w:keepNext/>
              <w:keepLines/>
              <w:jc w:val="center"/>
              <w:rPr>
                <w:b/>
                <w:bCs/>
                <w:lang w:val="en-GB"/>
              </w:rPr>
            </w:pPr>
            <w:r w:rsidRPr="00FC22AA">
              <w:rPr>
                <w:b/>
                <w:bCs/>
                <w:lang w:val="en-GB"/>
              </w:rPr>
              <w:t>Actual data</w:t>
            </w:r>
          </w:p>
        </w:tc>
      </w:tr>
      <w:tr w:rsidR="004F4F9D" w:rsidRPr="00FC22AA" w14:paraId="3BCA0A43" w14:textId="77777777" w:rsidTr="000A1366">
        <w:trPr>
          <w:trHeight w:val="57"/>
          <w:jc w:val="center"/>
        </w:trPr>
        <w:tc>
          <w:tcPr>
            <w:tcW w:w="4589" w:type="dxa"/>
            <w:tcBorders>
              <w:top w:val="single" w:sz="8" w:space="0" w:color="auto"/>
            </w:tcBorders>
            <w:noWrap/>
            <w:vAlign w:val="bottom"/>
            <w:hideMark/>
          </w:tcPr>
          <w:p w14:paraId="61DDE5EA" w14:textId="5649292F" w:rsidR="004F4F9D" w:rsidRPr="00FC22AA" w:rsidRDefault="004F4F9D" w:rsidP="004F4F9D">
            <w:pPr>
              <w:keepNext/>
              <w:keepLines/>
              <w:rPr>
                <w:lang w:val="en-GB"/>
              </w:rPr>
            </w:pPr>
            <w:r w:rsidRPr="00FC22AA">
              <w:rPr>
                <w:rFonts w:ascii="Calibri" w:eastAsia="Times New Roman" w:hAnsi="Calibri" w:cs="Calibri"/>
                <w:lang w:val="en-GB" w:eastAsia="es-ES"/>
              </w:rPr>
              <w:t>Sale of finished products</w:t>
            </w:r>
          </w:p>
        </w:tc>
        <w:tc>
          <w:tcPr>
            <w:tcW w:w="1760" w:type="dxa"/>
            <w:tcBorders>
              <w:top w:val="single" w:sz="8" w:space="0" w:color="auto"/>
            </w:tcBorders>
            <w:noWrap/>
            <w:hideMark/>
          </w:tcPr>
          <w:p w14:paraId="18CA2A3C" w14:textId="77777777" w:rsidR="004F4F9D" w:rsidRPr="00FC22AA" w:rsidRDefault="004F4F9D" w:rsidP="004F4F9D">
            <w:pPr>
              <w:keepNext/>
              <w:keepLines/>
              <w:jc w:val="center"/>
              <w:rPr>
                <w:lang w:val="en-GB"/>
              </w:rPr>
            </w:pPr>
            <w:r w:rsidRPr="00FC22AA">
              <w:rPr>
                <w:lang w:val="en-GB"/>
              </w:rPr>
              <w:t>595 – 610</w:t>
            </w:r>
          </w:p>
        </w:tc>
        <w:tc>
          <w:tcPr>
            <w:tcW w:w="2156" w:type="dxa"/>
            <w:tcBorders>
              <w:top w:val="single" w:sz="8" w:space="0" w:color="auto"/>
            </w:tcBorders>
            <w:noWrap/>
            <w:hideMark/>
          </w:tcPr>
          <w:p w14:paraId="1EC30CAD" w14:textId="77777777" w:rsidR="004F4F9D" w:rsidRPr="00FC22AA" w:rsidRDefault="004F4F9D" w:rsidP="004F4F9D">
            <w:pPr>
              <w:keepNext/>
              <w:keepLines/>
              <w:ind w:right="592"/>
              <w:jc w:val="right"/>
              <w:rPr>
                <w:lang w:val="en-GB"/>
              </w:rPr>
            </w:pPr>
            <w:r w:rsidRPr="00FC22AA">
              <w:rPr>
                <w:lang w:val="en-GB"/>
              </w:rPr>
              <w:t>603</w:t>
            </w:r>
          </w:p>
        </w:tc>
      </w:tr>
      <w:tr w:rsidR="004F4F9D" w:rsidRPr="00FC22AA" w14:paraId="017D2E19" w14:textId="77777777" w:rsidTr="000A1366">
        <w:trPr>
          <w:trHeight w:val="57"/>
          <w:jc w:val="center"/>
        </w:trPr>
        <w:tc>
          <w:tcPr>
            <w:tcW w:w="4589" w:type="dxa"/>
            <w:noWrap/>
            <w:vAlign w:val="bottom"/>
            <w:hideMark/>
          </w:tcPr>
          <w:p w14:paraId="50F875C5" w14:textId="3E796D5F" w:rsidR="004F4F9D" w:rsidRPr="00FC22AA" w:rsidRDefault="004F4F9D" w:rsidP="004F4F9D">
            <w:pPr>
              <w:keepNext/>
              <w:keepLines/>
              <w:rPr>
                <w:lang w:val="en-GB"/>
              </w:rPr>
            </w:pPr>
            <w:r w:rsidRPr="00FC22AA">
              <w:rPr>
                <w:rFonts w:ascii="Calibri" w:eastAsia="Times New Roman" w:hAnsi="Calibri" w:cs="Calibri"/>
                <w:lang w:val="en-GB" w:eastAsia="es-ES"/>
              </w:rPr>
              <w:t>Contribution</w:t>
            </w:r>
          </w:p>
        </w:tc>
        <w:tc>
          <w:tcPr>
            <w:tcW w:w="1760" w:type="dxa"/>
            <w:noWrap/>
            <w:hideMark/>
          </w:tcPr>
          <w:p w14:paraId="66CAE0B4" w14:textId="77777777" w:rsidR="004F4F9D" w:rsidRPr="00FC22AA" w:rsidRDefault="004F4F9D" w:rsidP="004F4F9D">
            <w:pPr>
              <w:keepNext/>
              <w:keepLines/>
              <w:jc w:val="center"/>
              <w:rPr>
                <w:lang w:val="en-GB"/>
              </w:rPr>
            </w:pPr>
            <w:r w:rsidRPr="00FC22AA">
              <w:rPr>
                <w:lang w:val="en-GB"/>
              </w:rPr>
              <w:t>200 – 205</w:t>
            </w:r>
          </w:p>
        </w:tc>
        <w:tc>
          <w:tcPr>
            <w:tcW w:w="2156" w:type="dxa"/>
            <w:noWrap/>
            <w:hideMark/>
          </w:tcPr>
          <w:p w14:paraId="101B46F0" w14:textId="77777777" w:rsidR="004F4F9D" w:rsidRPr="00FC22AA" w:rsidRDefault="004F4F9D" w:rsidP="004F4F9D">
            <w:pPr>
              <w:keepNext/>
              <w:keepLines/>
              <w:ind w:right="592"/>
              <w:jc w:val="right"/>
              <w:rPr>
                <w:lang w:val="en-GB"/>
              </w:rPr>
            </w:pPr>
            <w:r w:rsidRPr="00FC22AA">
              <w:rPr>
                <w:lang w:val="en-GB"/>
              </w:rPr>
              <w:t>198</w:t>
            </w:r>
          </w:p>
        </w:tc>
      </w:tr>
      <w:tr w:rsidR="004F4F9D" w:rsidRPr="00FC22AA" w14:paraId="700A3F3B" w14:textId="77777777" w:rsidTr="000A1366">
        <w:trPr>
          <w:trHeight w:val="57"/>
          <w:jc w:val="center"/>
        </w:trPr>
        <w:tc>
          <w:tcPr>
            <w:tcW w:w="4589" w:type="dxa"/>
            <w:noWrap/>
            <w:vAlign w:val="bottom"/>
            <w:hideMark/>
          </w:tcPr>
          <w:p w14:paraId="3A5E1E71" w14:textId="7D61343F" w:rsidR="004F4F9D" w:rsidRPr="00FC22AA" w:rsidRDefault="004F4F9D" w:rsidP="004F4F9D">
            <w:pPr>
              <w:keepNext/>
              <w:keepLines/>
              <w:rPr>
                <w:lang w:val="en-GB"/>
              </w:rPr>
            </w:pPr>
            <w:r w:rsidRPr="00FC22AA">
              <w:rPr>
                <w:rFonts w:ascii="Calibri" w:eastAsia="Times New Roman" w:hAnsi="Calibri" w:cs="Calibri"/>
                <w:lang w:val="en-GB" w:eastAsia="es-ES"/>
              </w:rPr>
              <w:t>Adjusted ebitda</w:t>
            </w:r>
          </w:p>
        </w:tc>
        <w:tc>
          <w:tcPr>
            <w:tcW w:w="1760" w:type="dxa"/>
            <w:noWrap/>
            <w:hideMark/>
          </w:tcPr>
          <w:p w14:paraId="47C2B915" w14:textId="77777777" w:rsidR="004F4F9D" w:rsidRPr="00FC22AA" w:rsidRDefault="004F4F9D" w:rsidP="004F4F9D">
            <w:pPr>
              <w:keepNext/>
              <w:keepLines/>
              <w:jc w:val="center"/>
              <w:rPr>
                <w:lang w:val="en-GB"/>
              </w:rPr>
            </w:pPr>
            <w:r w:rsidRPr="00FC22AA">
              <w:rPr>
                <w:lang w:val="en-GB"/>
              </w:rPr>
              <w:t>10 – 15</w:t>
            </w:r>
          </w:p>
        </w:tc>
        <w:tc>
          <w:tcPr>
            <w:tcW w:w="2156" w:type="dxa"/>
            <w:noWrap/>
            <w:hideMark/>
          </w:tcPr>
          <w:p w14:paraId="14432C61" w14:textId="77777777" w:rsidR="004F4F9D" w:rsidRPr="00FC22AA" w:rsidRDefault="004F4F9D" w:rsidP="004F4F9D">
            <w:pPr>
              <w:keepNext/>
              <w:keepLines/>
              <w:ind w:right="592"/>
              <w:jc w:val="right"/>
              <w:rPr>
                <w:lang w:val="en-GB"/>
              </w:rPr>
            </w:pPr>
            <w:r w:rsidRPr="00FC22AA">
              <w:rPr>
                <w:lang w:val="en-GB"/>
              </w:rPr>
              <w:t>8</w:t>
            </w:r>
          </w:p>
        </w:tc>
      </w:tr>
      <w:tr w:rsidR="004F4F9D" w:rsidRPr="00FC22AA" w14:paraId="7ECDD817" w14:textId="77777777" w:rsidTr="000A1366">
        <w:trPr>
          <w:trHeight w:val="57"/>
          <w:jc w:val="center"/>
        </w:trPr>
        <w:tc>
          <w:tcPr>
            <w:tcW w:w="4589" w:type="dxa"/>
            <w:tcBorders>
              <w:bottom w:val="single" w:sz="8" w:space="0" w:color="auto"/>
            </w:tcBorders>
            <w:noWrap/>
            <w:vAlign w:val="bottom"/>
            <w:hideMark/>
          </w:tcPr>
          <w:p w14:paraId="5428AAE6" w14:textId="45D03AD4" w:rsidR="004F4F9D" w:rsidRPr="00FC22AA" w:rsidRDefault="004F4F9D" w:rsidP="004F4F9D">
            <w:pPr>
              <w:keepNext/>
              <w:keepLines/>
              <w:rPr>
                <w:lang w:val="en-GB"/>
              </w:rPr>
            </w:pPr>
            <w:r w:rsidRPr="00FC22AA">
              <w:rPr>
                <w:rFonts w:ascii="Calibri" w:eastAsia="Times New Roman" w:hAnsi="Calibri" w:cs="Calibri"/>
                <w:lang w:val="en-GB" w:eastAsia="es-ES"/>
              </w:rPr>
              <w:t>Losses *</w:t>
            </w:r>
          </w:p>
        </w:tc>
        <w:tc>
          <w:tcPr>
            <w:tcW w:w="1760" w:type="dxa"/>
            <w:tcBorders>
              <w:bottom w:val="single" w:sz="8" w:space="0" w:color="auto"/>
            </w:tcBorders>
            <w:noWrap/>
            <w:hideMark/>
          </w:tcPr>
          <w:p w14:paraId="37312C1F" w14:textId="77777777" w:rsidR="004F4F9D" w:rsidRPr="00FC22AA" w:rsidRDefault="004F4F9D" w:rsidP="004F4F9D">
            <w:pPr>
              <w:keepNext/>
              <w:keepLines/>
              <w:jc w:val="center"/>
              <w:rPr>
                <w:lang w:val="en-GB"/>
              </w:rPr>
            </w:pPr>
            <w:r w:rsidRPr="00FC22AA">
              <w:rPr>
                <w:lang w:val="en-GB"/>
              </w:rPr>
              <w:t>45 – 50</w:t>
            </w:r>
          </w:p>
        </w:tc>
        <w:tc>
          <w:tcPr>
            <w:tcW w:w="2156" w:type="dxa"/>
            <w:tcBorders>
              <w:bottom w:val="single" w:sz="8" w:space="0" w:color="auto"/>
            </w:tcBorders>
            <w:noWrap/>
            <w:hideMark/>
          </w:tcPr>
          <w:p w14:paraId="747670AF" w14:textId="0BCB5643" w:rsidR="004F4F9D" w:rsidRPr="00FC22AA" w:rsidRDefault="004F4F9D" w:rsidP="004F4F9D">
            <w:pPr>
              <w:keepNext/>
              <w:keepLines/>
              <w:ind w:right="592"/>
              <w:jc w:val="right"/>
              <w:rPr>
                <w:lang w:val="en-GB"/>
              </w:rPr>
            </w:pPr>
            <w:r w:rsidRPr="00FC22AA">
              <w:rPr>
                <w:rFonts w:eastAsia="Times New Roman" w:cstheme="minorHAnsi"/>
                <w:lang w:val="en-GB" w:eastAsia="es-ES"/>
              </w:rPr>
              <w:t>54</w:t>
            </w:r>
          </w:p>
        </w:tc>
      </w:tr>
    </w:tbl>
    <w:p w14:paraId="15CA9E66" w14:textId="50DC5F86" w:rsidR="00BE015F" w:rsidRPr="00FC22AA" w:rsidRDefault="00BE015F" w:rsidP="00344C3C">
      <w:pPr>
        <w:pStyle w:val="Textoindependiente"/>
        <w:keepNext/>
        <w:keepLines/>
        <w:contextualSpacing w:val="0"/>
        <w:rPr>
          <w:b/>
          <w:bCs/>
          <w:color w:val="auto"/>
          <w:lang w:val="en-GB"/>
        </w:rPr>
      </w:pPr>
      <w:r w:rsidRPr="00FC22AA">
        <w:rPr>
          <w:color w:val="auto"/>
          <w:sz w:val="18"/>
          <w:szCs w:val="18"/>
          <w:lang w:val="en-GB"/>
        </w:rPr>
        <w:t>*</w:t>
      </w:r>
      <w:r w:rsidR="00781D79" w:rsidRPr="00FC22AA">
        <w:rPr>
          <w:lang w:val="en-GB"/>
        </w:rPr>
        <w:t xml:space="preserve"> </w:t>
      </w:r>
      <w:r w:rsidR="00781D79" w:rsidRPr="00FC22AA">
        <w:rPr>
          <w:color w:val="auto"/>
          <w:sz w:val="18"/>
          <w:szCs w:val="18"/>
          <w:lang w:val="en-GB"/>
        </w:rPr>
        <w:t>The estimate was prepared under the assumption of no asset impairment.</w:t>
      </w:r>
    </w:p>
    <w:p w14:paraId="7BACA8A1" w14:textId="77777777" w:rsidR="00BE015F" w:rsidRPr="00FC22AA" w:rsidRDefault="00BE015F" w:rsidP="00EE5F40">
      <w:pPr>
        <w:pStyle w:val="Textoindependiente"/>
        <w:contextualSpacing w:val="0"/>
        <w:rPr>
          <w:b/>
          <w:bCs/>
          <w:color w:val="auto"/>
          <w:lang w:val="en-GB"/>
        </w:rPr>
      </w:pPr>
    </w:p>
    <w:p w14:paraId="0E209949" w14:textId="77777777" w:rsidR="00781D79" w:rsidRDefault="00781D79" w:rsidP="00781D79">
      <w:pPr>
        <w:pStyle w:val="Textoindependiente"/>
        <w:contextualSpacing w:val="0"/>
        <w:rPr>
          <w:b/>
          <w:bCs/>
          <w:color w:val="auto"/>
          <w:lang w:val="en-GB"/>
        </w:rPr>
      </w:pPr>
    </w:p>
    <w:p w14:paraId="17E3577F" w14:textId="77777777" w:rsidR="00EE5F40" w:rsidRPr="00FC22AA" w:rsidRDefault="00EE5F40" w:rsidP="00781D79">
      <w:pPr>
        <w:pStyle w:val="Textoindependiente"/>
        <w:contextualSpacing w:val="0"/>
        <w:rPr>
          <w:b/>
          <w:bCs/>
          <w:color w:val="auto"/>
          <w:lang w:val="en-GB"/>
        </w:rPr>
      </w:pPr>
    </w:p>
    <w:p w14:paraId="13A9D027" w14:textId="18563DA2" w:rsidR="00781D79" w:rsidRPr="00FC22AA" w:rsidRDefault="00781D79" w:rsidP="00781D79">
      <w:pPr>
        <w:pStyle w:val="Prrafodelista"/>
        <w:numPr>
          <w:ilvl w:val="0"/>
          <w:numId w:val="33"/>
        </w:numPr>
        <w:spacing w:after="0" w:line="240" w:lineRule="auto"/>
        <w:ind w:left="851" w:hanging="567"/>
        <w:jc w:val="both"/>
        <w:rPr>
          <w:b/>
          <w:bCs/>
          <w:lang w:val="en-GB"/>
        </w:rPr>
      </w:pPr>
      <w:r w:rsidRPr="00FC22AA">
        <w:rPr>
          <w:b/>
          <w:bCs/>
          <w:lang w:val="en-GB"/>
        </w:rPr>
        <w:t>FORECAST FOR 2026</w:t>
      </w:r>
    </w:p>
    <w:p w14:paraId="19B60195" w14:textId="77777777" w:rsidR="00781D79" w:rsidRPr="00FC22AA" w:rsidRDefault="00781D79" w:rsidP="00781D79">
      <w:pPr>
        <w:pStyle w:val="Textoindependiente"/>
        <w:rPr>
          <w:rFonts w:ascii="Calibri" w:hAnsi="Calibri" w:cs="Calibri"/>
          <w:sz w:val="24"/>
          <w:szCs w:val="24"/>
          <w:lang w:val="en-GB"/>
        </w:rPr>
      </w:pPr>
    </w:p>
    <w:p w14:paraId="1675D6A9" w14:textId="1A8920A4" w:rsidR="00781D79" w:rsidRPr="00FC22AA" w:rsidRDefault="00781D79" w:rsidP="00781D79">
      <w:pPr>
        <w:pStyle w:val="Textoindependiente"/>
        <w:rPr>
          <w:rFonts w:ascii="Calibri" w:hAnsi="Calibri" w:cs="Calibri"/>
          <w:sz w:val="24"/>
          <w:szCs w:val="24"/>
          <w:lang w:val="en-GB"/>
        </w:rPr>
      </w:pPr>
      <w:r w:rsidRPr="00FC22AA">
        <w:rPr>
          <w:rFonts w:ascii="Calibri" w:hAnsi="Calibri" w:cs="Calibri"/>
          <w:sz w:val="24"/>
          <w:szCs w:val="24"/>
          <w:lang w:val="en-GB"/>
        </w:rPr>
        <w:t>Specialised industry publications forecast that demand in the European chemical sector will begin to recover during the second half of 2026, although this remains contingent on a reasonable resolution of the current tariff crisis and the implementation of the European Chemical Industry Support Plan.</w:t>
      </w:r>
    </w:p>
    <w:p w14:paraId="2F266919" w14:textId="77777777" w:rsidR="00781D79" w:rsidRPr="00FC22AA" w:rsidRDefault="00781D79" w:rsidP="00781D79">
      <w:pPr>
        <w:pStyle w:val="Textoindependiente"/>
        <w:rPr>
          <w:rFonts w:ascii="Calibri" w:hAnsi="Calibri" w:cs="Calibri"/>
          <w:sz w:val="24"/>
          <w:szCs w:val="24"/>
          <w:lang w:val="en-GB"/>
        </w:rPr>
      </w:pPr>
    </w:p>
    <w:p w14:paraId="41B8DA26" w14:textId="74A31340" w:rsidR="00781D79" w:rsidRPr="00FC22AA" w:rsidRDefault="00781D79" w:rsidP="00781D79">
      <w:pPr>
        <w:pStyle w:val="Textoindependiente"/>
        <w:rPr>
          <w:rFonts w:ascii="Calibri" w:hAnsi="Calibri" w:cs="Calibri"/>
          <w:sz w:val="24"/>
          <w:szCs w:val="24"/>
          <w:lang w:val="en-GB"/>
        </w:rPr>
      </w:pPr>
      <w:r w:rsidRPr="00FC22AA">
        <w:rPr>
          <w:rFonts w:ascii="Calibri" w:hAnsi="Calibri" w:cs="Calibri"/>
          <w:sz w:val="24"/>
          <w:szCs w:val="24"/>
          <w:lang w:val="en-GB"/>
        </w:rPr>
        <w:t>Ercros, like other companies in the European chemical sector, continues to be affected by persistently weak demand, high energy costs and intense competition from non</w:t>
      </w:r>
      <w:r w:rsidRPr="00FC22AA">
        <w:rPr>
          <w:rFonts w:ascii="Calibri" w:hAnsi="Calibri" w:cs="Calibri"/>
          <w:sz w:val="24"/>
          <w:szCs w:val="24"/>
          <w:lang w:val="en-GB"/>
        </w:rPr>
        <w:noBreakHyphen/>
        <w:t xml:space="preserve">EU countries. </w:t>
      </w:r>
      <w:proofErr w:type="gramStart"/>
      <w:r w:rsidRPr="00FC22AA">
        <w:rPr>
          <w:rFonts w:ascii="Calibri" w:hAnsi="Calibri" w:cs="Calibri"/>
          <w:sz w:val="24"/>
          <w:szCs w:val="24"/>
          <w:lang w:val="en-GB"/>
        </w:rPr>
        <w:t>As long as</w:t>
      </w:r>
      <w:proofErr w:type="gramEnd"/>
      <w:r w:rsidRPr="00FC22AA">
        <w:rPr>
          <w:rFonts w:ascii="Calibri" w:hAnsi="Calibri" w:cs="Calibri"/>
          <w:sz w:val="24"/>
          <w:szCs w:val="24"/>
          <w:lang w:val="en-GB"/>
        </w:rPr>
        <w:t xml:space="preserve"> the current situation of excess supply persists, volumes, prices and margins will remain under significant pressure.</w:t>
      </w:r>
    </w:p>
    <w:p w14:paraId="1E9756DB" w14:textId="77777777" w:rsidR="00781D79" w:rsidRPr="00FC22AA" w:rsidRDefault="00781D79" w:rsidP="00781D79">
      <w:pPr>
        <w:pStyle w:val="Textoindependiente"/>
        <w:rPr>
          <w:rFonts w:ascii="Calibri" w:hAnsi="Calibri" w:cs="Calibri"/>
          <w:sz w:val="24"/>
          <w:szCs w:val="24"/>
          <w:lang w:val="en-GB"/>
        </w:rPr>
      </w:pPr>
    </w:p>
    <w:p w14:paraId="6B95CBF4" w14:textId="6F9ABED1" w:rsidR="00781D79" w:rsidRPr="00FC22AA" w:rsidRDefault="00781D79" w:rsidP="00781D79">
      <w:pPr>
        <w:pStyle w:val="Textoindependiente"/>
        <w:rPr>
          <w:rFonts w:ascii="Calibri" w:hAnsi="Calibri" w:cs="Calibri"/>
          <w:sz w:val="24"/>
          <w:szCs w:val="24"/>
          <w:lang w:val="en-GB"/>
        </w:rPr>
      </w:pPr>
      <w:r w:rsidRPr="00FC22AA">
        <w:rPr>
          <w:rFonts w:ascii="Calibri" w:hAnsi="Calibri" w:cs="Calibri"/>
          <w:sz w:val="24"/>
          <w:szCs w:val="24"/>
          <w:lang w:val="en-GB"/>
        </w:rPr>
        <w:t>In addition, the tariff war initiated by the United States has increased the flow of Asian chemical products into Europe, weakening the recovery of economic activity in the region.</w:t>
      </w:r>
    </w:p>
    <w:p w14:paraId="29B0D363" w14:textId="77777777" w:rsidR="00781D79" w:rsidRPr="00FC22AA" w:rsidRDefault="00781D79" w:rsidP="00781D79">
      <w:pPr>
        <w:pStyle w:val="Textoindependiente"/>
        <w:rPr>
          <w:rFonts w:ascii="Calibri" w:hAnsi="Calibri" w:cs="Calibri"/>
          <w:sz w:val="24"/>
          <w:szCs w:val="24"/>
          <w:lang w:val="en-GB"/>
        </w:rPr>
      </w:pPr>
    </w:p>
    <w:p w14:paraId="6CBE3BE9" w14:textId="2EEBDE03" w:rsidR="00781D79" w:rsidRPr="00FC22AA" w:rsidRDefault="00781D79" w:rsidP="00781D79">
      <w:pPr>
        <w:pStyle w:val="Textoindependiente"/>
        <w:rPr>
          <w:rFonts w:ascii="Calibri" w:hAnsi="Calibri" w:cs="Calibri"/>
          <w:sz w:val="24"/>
          <w:szCs w:val="24"/>
          <w:lang w:val="en-GB"/>
        </w:rPr>
      </w:pPr>
      <w:r w:rsidRPr="00FC22AA">
        <w:rPr>
          <w:rFonts w:ascii="Calibri" w:hAnsi="Calibri" w:cs="Calibri"/>
          <w:sz w:val="24"/>
          <w:szCs w:val="24"/>
          <w:lang w:val="en-GB"/>
        </w:rPr>
        <w:t xml:space="preserve">In any case, Ercros will continue to implement the 3D Plan </w:t>
      </w:r>
      <w:proofErr w:type="gramStart"/>
      <w:r w:rsidRPr="00FC22AA">
        <w:rPr>
          <w:rFonts w:ascii="Calibri" w:hAnsi="Calibri" w:cs="Calibri"/>
          <w:sz w:val="24"/>
          <w:szCs w:val="24"/>
          <w:lang w:val="en-GB"/>
        </w:rPr>
        <w:t>in order to</w:t>
      </w:r>
      <w:proofErr w:type="gramEnd"/>
      <w:r w:rsidRPr="00FC22AA">
        <w:rPr>
          <w:rFonts w:ascii="Calibri" w:hAnsi="Calibri" w:cs="Calibri"/>
          <w:sz w:val="24"/>
          <w:szCs w:val="24"/>
          <w:lang w:val="en-GB"/>
        </w:rPr>
        <w:t xml:space="preserve"> advance the digitalisation of its operations, the decarbonisation of its activities, and the diversification and expansion of its product portfolio. At the same time, it will maintain its presence in the markets in which it operates, take advantage of opportunities to defend its margins, and continue to carry out actions aimed at reducing costs and improving competitiveness.</w:t>
      </w:r>
    </w:p>
    <w:p w14:paraId="3913B6EE" w14:textId="7D7C4698" w:rsidR="00AA17CD" w:rsidRPr="00FC22AA" w:rsidRDefault="00AA17CD" w:rsidP="00AA17CD">
      <w:pPr>
        <w:pStyle w:val="Textoindependiente"/>
        <w:contextualSpacing w:val="0"/>
        <w:rPr>
          <w:color w:val="auto"/>
          <w:lang w:val="en-GB"/>
        </w:rPr>
      </w:pPr>
    </w:p>
    <w:bookmarkEnd w:id="7"/>
    <w:p w14:paraId="140D36EE" w14:textId="77777777" w:rsidR="008073F4" w:rsidRDefault="008073F4" w:rsidP="00EA441C">
      <w:pPr>
        <w:spacing w:after="0" w:line="240" w:lineRule="auto"/>
        <w:jc w:val="both"/>
        <w:rPr>
          <w:lang w:val="en-GB"/>
        </w:rPr>
      </w:pPr>
    </w:p>
    <w:p w14:paraId="2FF63660" w14:textId="77777777" w:rsidR="00EE5F40" w:rsidRPr="00FC22AA" w:rsidRDefault="00EE5F40" w:rsidP="00EA441C">
      <w:pPr>
        <w:spacing w:after="0" w:line="240" w:lineRule="auto"/>
        <w:jc w:val="both"/>
        <w:rPr>
          <w:lang w:val="en-GB"/>
        </w:rPr>
      </w:pPr>
    </w:p>
    <w:p w14:paraId="7A524515" w14:textId="6E362B4F" w:rsidR="001E615A" w:rsidRPr="00FC22AA" w:rsidRDefault="00A74147" w:rsidP="00EA441C">
      <w:pPr>
        <w:spacing w:after="0" w:line="240" w:lineRule="auto"/>
        <w:jc w:val="both"/>
        <w:rPr>
          <w:b/>
          <w:bCs/>
          <w:lang w:val="en-GB"/>
        </w:rPr>
      </w:pPr>
      <w:r w:rsidRPr="00FC22AA">
        <w:rPr>
          <w:lang w:val="en-GB"/>
        </w:rPr>
        <w:t xml:space="preserve">Barcelona, </w:t>
      </w:r>
      <w:r w:rsidR="003C25B1" w:rsidRPr="00FC22AA">
        <w:rPr>
          <w:lang w:val="en-GB"/>
        </w:rPr>
        <w:t>27</w:t>
      </w:r>
      <w:r w:rsidR="0043511B" w:rsidRPr="00FC22AA">
        <w:rPr>
          <w:lang w:val="en-GB"/>
        </w:rPr>
        <w:t xml:space="preserve"> </w:t>
      </w:r>
      <w:r w:rsidR="005909E4" w:rsidRPr="00FC22AA">
        <w:rPr>
          <w:lang w:val="en-GB"/>
        </w:rPr>
        <w:t>February</w:t>
      </w:r>
      <w:r w:rsidRPr="00FC22AA">
        <w:rPr>
          <w:lang w:val="en-GB"/>
        </w:rPr>
        <w:t xml:space="preserve"> 202</w:t>
      </w:r>
      <w:r w:rsidR="003C25B1" w:rsidRPr="00FC22AA">
        <w:rPr>
          <w:lang w:val="en-GB"/>
        </w:rPr>
        <w:t>6</w:t>
      </w:r>
    </w:p>
    <w:sectPr w:rsidR="001E615A" w:rsidRPr="00FC22AA" w:rsidSect="00F25066">
      <w:headerReference w:type="default" r:id="rId18"/>
      <w:footerReference w:type="even" r:id="rId19"/>
      <w:footerReference w:type="default" r:id="rId20"/>
      <w:footerReference w:type="first" r:id="rId21"/>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75E6" w14:textId="77777777" w:rsidR="00FF6E07" w:rsidRDefault="00FF6E07" w:rsidP="002A5310">
      <w:pPr>
        <w:spacing w:after="0" w:line="240" w:lineRule="auto"/>
      </w:pPr>
      <w:r>
        <w:separator/>
      </w:r>
    </w:p>
  </w:endnote>
  <w:endnote w:type="continuationSeparator" w:id="0">
    <w:p w14:paraId="3D72C0E5" w14:textId="77777777" w:rsidR="00FF6E07" w:rsidRDefault="00FF6E07" w:rsidP="002A5310">
      <w:pPr>
        <w:spacing w:after="0" w:line="240" w:lineRule="auto"/>
      </w:pPr>
      <w:r>
        <w:continuationSeparator/>
      </w:r>
    </w:p>
  </w:endnote>
  <w:endnote w:type="continuationNotice" w:id="1">
    <w:p w14:paraId="3085996F" w14:textId="77777777" w:rsidR="00FF6E07" w:rsidRDefault="00FF6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0BA9" w14:textId="5444356C" w:rsidR="008F42DD" w:rsidRDefault="008F42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83A" w14:textId="0D10B032" w:rsidR="008F42DD" w:rsidRDefault="008F42D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E32E" w14:textId="3CEDE255" w:rsidR="008F42DD" w:rsidRDefault="008F42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6E0D" w14:textId="77777777" w:rsidR="00FF6E07" w:rsidRDefault="00FF6E07" w:rsidP="002A5310">
      <w:pPr>
        <w:spacing w:after="0" w:line="240" w:lineRule="auto"/>
      </w:pPr>
      <w:r>
        <w:separator/>
      </w:r>
    </w:p>
  </w:footnote>
  <w:footnote w:type="continuationSeparator" w:id="0">
    <w:p w14:paraId="0413AC42" w14:textId="77777777" w:rsidR="00FF6E07" w:rsidRDefault="00FF6E07" w:rsidP="002A5310">
      <w:pPr>
        <w:spacing w:after="0" w:line="240" w:lineRule="auto"/>
      </w:pPr>
      <w:r>
        <w:continuationSeparator/>
      </w:r>
    </w:p>
  </w:footnote>
  <w:footnote w:type="continuationNotice" w:id="1">
    <w:p w14:paraId="5A47D985" w14:textId="77777777" w:rsidR="00FF6E07" w:rsidRDefault="00FF6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99117"/>
      <w:docPartObj>
        <w:docPartGallery w:val="Page Numbers (Top of Page)"/>
        <w:docPartUnique/>
      </w:docPartObj>
    </w:sdtPr>
    <w:sdtEndPr/>
    <w:sdtContent>
      <w:p w14:paraId="5114354F" w14:textId="3F058972" w:rsidR="00921794" w:rsidRDefault="00921794">
        <w:pPr>
          <w:pStyle w:val="Encabezado"/>
          <w:jc w:val="right"/>
        </w:pPr>
        <w:r>
          <w:rPr>
            <w:noProof/>
            <w:lang w:eastAsia="es-ES"/>
          </w:rPr>
          <w:drawing>
            <wp:anchor distT="0" distB="0" distL="114300" distR="114300" simplePos="0" relativeHeight="251658240" behindDoc="0" locked="0" layoutInCell="1" allowOverlap="1" wp14:anchorId="3250E9F0" wp14:editId="26834E25">
              <wp:simplePos x="0" y="0"/>
              <wp:positionH relativeFrom="margin">
                <wp:align>left</wp:align>
              </wp:positionH>
              <wp:positionV relativeFrom="paragraph">
                <wp:posOffset>-202514</wp:posOffset>
              </wp:positionV>
              <wp:extent cx="1181100" cy="518160"/>
              <wp:effectExtent l="0" t="0" r="0" b="0"/>
              <wp:wrapNone/>
              <wp:docPr id="10" name="Imagen 10"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rizontal azul bueno.jpg"/>
                      <pic:cNvPicPr/>
                    </pic:nvPicPr>
                    <pic:blipFill>
                      <a:blip r:embed="rId1">
                        <a:extLst>
                          <a:ext uri="{28A0092B-C50C-407E-A947-70E740481C1C}">
                            <a14:useLocalDpi xmlns:a14="http://schemas.microsoft.com/office/drawing/2010/main" val="0"/>
                          </a:ext>
                        </a:extLst>
                      </a:blip>
                      <a:stretch>
                        <a:fillRect/>
                      </a:stretch>
                    </pic:blipFill>
                    <pic:spPr>
                      <a:xfrm>
                        <a:off x="0" y="0"/>
                        <a:ext cx="1181100" cy="518160"/>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34FE649A" w14:textId="430557C9" w:rsidR="00230A52" w:rsidRDefault="00230A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FB4CF8"/>
    <w:multiLevelType w:val="hybridMultilevel"/>
    <w:tmpl w:val="90FE36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BD7C28"/>
    <w:multiLevelType w:val="hybridMultilevel"/>
    <w:tmpl w:val="B3832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F11A90"/>
    <w:multiLevelType w:val="hybridMultilevel"/>
    <w:tmpl w:val="FB6A7E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11"/>
    <w:multiLevelType w:val="hybridMultilevel"/>
    <w:tmpl w:val="E97034EE"/>
    <w:lvl w:ilvl="0" w:tplc="D4845316">
      <w:numFmt w:val="bullet"/>
      <w:lvlText w:val="•"/>
      <w:lvlJc w:val="left"/>
      <w:pPr>
        <w:ind w:left="428" w:hanging="360"/>
      </w:pPr>
      <w:rPr>
        <w:rFonts w:ascii="Calibri" w:eastAsiaTheme="minorHAnsi" w:hAnsi="Calibri" w:cs="Calibri" w:hint="default"/>
      </w:rPr>
    </w:lvl>
    <w:lvl w:ilvl="1" w:tplc="0C0A0003" w:tentative="1">
      <w:start w:val="1"/>
      <w:numFmt w:val="bullet"/>
      <w:lvlText w:val="o"/>
      <w:lvlJc w:val="left"/>
      <w:pPr>
        <w:ind w:left="1148" w:hanging="360"/>
      </w:pPr>
      <w:rPr>
        <w:rFonts w:ascii="Courier New" w:hAnsi="Courier New" w:cs="Courier New" w:hint="default"/>
      </w:rPr>
    </w:lvl>
    <w:lvl w:ilvl="2" w:tplc="0C0A0005" w:tentative="1">
      <w:start w:val="1"/>
      <w:numFmt w:val="bullet"/>
      <w:lvlText w:val=""/>
      <w:lvlJc w:val="left"/>
      <w:pPr>
        <w:ind w:left="1868" w:hanging="360"/>
      </w:pPr>
      <w:rPr>
        <w:rFonts w:ascii="Wingdings" w:hAnsi="Wingdings" w:hint="default"/>
      </w:rPr>
    </w:lvl>
    <w:lvl w:ilvl="3" w:tplc="0C0A0001" w:tentative="1">
      <w:start w:val="1"/>
      <w:numFmt w:val="bullet"/>
      <w:lvlText w:val=""/>
      <w:lvlJc w:val="left"/>
      <w:pPr>
        <w:ind w:left="2588" w:hanging="360"/>
      </w:pPr>
      <w:rPr>
        <w:rFonts w:ascii="Symbol" w:hAnsi="Symbol" w:hint="default"/>
      </w:rPr>
    </w:lvl>
    <w:lvl w:ilvl="4" w:tplc="0C0A0003" w:tentative="1">
      <w:start w:val="1"/>
      <w:numFmt w:val="bullet"/>
      <w:lvlText w:val="o"/>
      <w:lvlJc w:val="left"/>
      <w:pPr>
        <w:ind w:left="3308" w:hanging="360"/>
      </w:pPr>
      <w:rPr>
        <w:rFonts w:ascii="Courier New" w:hAnsi="Courier New" w:cs="Courier New" w:hint="default"/>
      </w:rPr>
    </w:lvl>
    <w:lvl w:ilvl="5" w:tplc="0C0A0005" w:tentative="1">
      <w:start w:val="1"/>
      <w:numFmt w:val="bullet"/>
      <w:lvlText w:val=""/>
      <w:lvlJc w:val="left"/>
      <w:pPr>
        <w:ind w:left="4028" w:hanging="360"/>
      </w:pPr>
      <w:rPr>
        <w:rFonts w:ascii="Wingdings" w:hAnsi="Wingdings" w:hint="default"/>
      </w:rPr>
    </w:lvl>
    <w:lvl w:ilvl="6" w:tplc="0C0A0001" w:tentative="1">
      <w:start w:val="1"/>
      <w:numFmt w:val="bullet"/>
      <w:lvlText w:val=""/>
      <w:lvlJc w:val="left"/>
      <w:pPr>
        <w:ind w:left="4748" w:hanging="360"/>
      </w:pPr>
      <w:rPr>
        <w:rFonts w:ascii="Symbol" w:hAnsi="Symbol" w:hint="default"/>
      </w:rPr>
    </w:lvl>
    <w:lvl w:ilvl="7" w:tplc="0C0A0003" w:tentative="1">
      <w:start w:val="1"/>
      <w:numFmt w:val="bullet"/>
      <w:lvlText w:val="o"/>
      <w:lvlJc w:val="left"/>
      <w:pPr>
        <w:ind w:left="5468" w:hanging="360"/>
      </w:pPr>
      <w:rPr>
        <w:rFonts w:ascii="Courier New" w:hAnsi="Courier New" w:cs="Courier New" w:hint="default"/>
      </w:rPr>
    </w:lvl>
    <w:lvl w:ilvl="8" w:tplc="0C0A0005" w:tentative="1">
      <w:start w:val="1"/>
      <w:numFmt w:val="bullet"/>
      <w:lvlText w:val=""/>
      <w:lvlJc w:val="left"/>
      <w:pPr>
        <w:ind w:left="6188" w:hanging="360"/>
      </w:pPr>
      <w:rPr>
        <w:rFonts w:ascii="Wingdings" w:hAnsi="Wingdings" w:hint="default"/>
      </w:rPr>
    </w:lvl>
  </w:abstractNum>
  <w:abstractNum w:abstractNumId="4" w15:restartNumberingAfterBreak="0">
    <w:nsid w:val="03382D67"/>
    <w:multiLevelType w:val="hybridMultilevel"/>
    <w:tmpl w:val="C8748938"/>
    <w:lvl w:ilvl="0" w:tplc="B34A939C">
      <w:numFmt w:val="bullet"/>
      <w:lvlText w:val="-"/>
      <w:lvlJc w:val="left"/>
      <w:pPr>
        <w:ind w:left="360" w:hanging="360"/>
      </w:pPr>
      <w:rPr>
        <w:rFonts w:ascii="Calibri" w:eastAsiaTheme="minorHAnsi" w:hAnsi="Calibri" w:cs="Calibri" w:hint="default"/>
        <w:color w:val="auto"/>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5" w15:restartNumberingAfterBreak="0">
    <w:nsid w:val="05065D03"/>
    <w:multiLevelType w:val="hybridMultilevel"/>
    <w:tmpl w:val="50A403A6"/>
    <w:lvl w:ilvl="0" w:tplc="32F07984">
      <w:numFmt w:val="bullet"/>
      <w:lvlText w:val="-"/>
      <w:lvlJc w:val="left"/>
      <w:pPr>
        <w:ind w:left="1070" w:hanging="360"/>
      </w:pPr>
      <w:rPr>
        <w:rFonts w:ascii="Calibri" w:eastAsiaTheme="minorHAnsi" w:hAnsi="Calibri" w:cs="Calibri"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6" w15:restartNumberingAfterBreak="0">
    <w:nsid w:val="051F22DE"/>
    <w:multiLevelType w:val="hybridMultilevel"/>
    <w:tmpl w:val="88C0C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59E3727"/>
    <w:multiLevelType w:val="hybridMultilevel"/>
    <w:tmpl w:val="D00CFEF6"/>
    <w:lvl w:ilvl="0" w:tplc="7FBA9CE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7E6BD7"/>
    <w:multiLevelType w:val="hybridMultilevel"/>
    <w:tmpl w:val="BCE89B52"/>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9" w15:restartNumberingAfterBreak="0">
    <w:nsid w:val="0B741953"/>
    <w:multiLevelType w:val="hybridMultilevel"/>
    <w:tmpl w:val="68D64A38"/>
    <w:lvl w:ilvl="0" w:tplc="0C0A0015">
      <w:start w:val="1"/>
      <w:numFmt w:val="upperLetter"/>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A1347F"/>
    <w:multiLevelType w:val="hybridMultilevel"/>
    <w:tmpl w:val="4B9E4D38"/>
    <w:lvl w:ilvl="0" w:tplc="D484531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DFD5A22"/>
    <w:multiLevelType w:val="hybridMultilevel"/>
    <w:tmpl w:val="0DB2E6EE"/>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2" w15:restartNumberingAfterBreak="0">
    <w:nsid w:val="11593A91"/>
    <w:multiLevelType w:val="hybridMultilevel"/>
    <w:tmpl w:val="21168FF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3" w15:restartNumberingAfterBreak="0">
    <w:nsid w:val="21509F0A"/>
    <w:multiLevelType w:val="hybridMultilevel"/>
    <w:tmpl w:val="8DCD82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B1A3C7A"/>
    <w:multiLevelType w:val="hybridMultilevel"/>
    <w:tmpl w:val="1B087930"/>
    <w:lvl w:ilvl="0" w:tplc="CD525D50">
      <w:numFmt w:val="bullet"/>
      <w:lvlText w:val=""/>
      <w:lvlJc w:val="left"/>
      <w:pPr>
        <w:ind w:left="1005" w:hanging="360"/>
      </w:pPr>
      <w:rPr>
        <w:rFonts w:ascii="Symbol" w:eastAsiaTheme="minorHAnsi" w:hAnsi="Symbol" w:cstheme="minorBidi"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15" w15:restartNumberingAfterBreak="0">
    <w:nsid w:val="33627C99"/>
    <w:multiLevelType w:val="hybridMultilevel"/>
    <w:tmpl w:val="68D64A38"/>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A1813"/>
    <w:multiLevelType w:val="hybridMultilevel"/>
    <w:tmpl w:val="68D64A38"/>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334651"/>
    <w:multiLevelType w:val="hybridMultilevel"/>
    <w:tmpl w:val="8F42586E"/>
    <w:lvl w:ilvl="0" w:tplc="D4845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51C86"/>
    <w:multiLevelType w:val="hybridMultilevel"/>
    <w:tmpl w:val="B9C63B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262B46E"/>
    <w:multiLevelType w:val="hybridMultilevel"/>
    <w:tmpl w:val="AFD7CB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9A6EF3"/>
    <w:multiLevelType w:val="hybridMultilevel"/>
    <w:tmpl w:val="DD5CC542"/>
    <w:lvl w:ilvl="0" w:tplc="49A249C8">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7641E0"/>
    <w:multiLevelType w:val="hybridMultilevel"/>
    <w:tmpl w:val="D22681EC"/>
    <w:lvl w:ilvl="0" w:tplc="1166F760">
      <w:start w:val="1"/>
      <w:numFmt w:val="decimal"/>
      <w:lvlText w:val="%1."/>
      <w:lvlJc w:val="left"/>
      <w:pPr>
        <w:ind w:left="644" w:hanging="360"/>
      </w:pPr>
      <w:rPr>
        <w:rFonts w:asciiTheme="minorHAnsi" w:hAnsiTheme="minorHAnsi" w:cstheme="minorHAnsi" w:hint="default"/>
        <w:color w:val="auto"/>
        <w:sz w:val="22"/>
        <w:szCs w:val="22"/>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2" w15:restartNumberingAfterBreak="0">
    <w:nsid w:val="53386155"/>
    <w:multiLevelType w:val="hybridMultilevel"/>
    <w:tmpl w:val="80B2BBA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F46445"/>
    <w:multiLevelType w:val="hybridMultilevel"/>
    <w:tmpl w:val="68D64A38"/>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D36D19"/>
    <w:multiLevelType w:val="hybridMultilevel"/>
    <w:tmpl w:val="22C89A7E"/>
    <w:lvl w:ilvl="0" w:tplc="A1C44FF6">
      <w:start w:val="7"/>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6703245C"/>
    <w:multiLevelType w:val="hybridMultilevel"/>
    <w:tmpl w:val="86C6BCF4"/>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385D97"/>
    <w:multiLevelType w:val="hybridMultilevel"/>
    <w:tmpl w:val="52C234FC"/>
    <w:lvl w:ilvl="0" w:tplc="0C0A0001">
      <w:start w:val="1"/>
      <w:numFmt w:val="bullet"/>
      <w:lvlText w:val=""/>
      <w:lvlJc w:val="left"/>
      <w:pPr>
        <w:ind w:left="1147" w:hanging="360"/>
      </w:pPr>
      <w:rPr>
        <w:rFonts w:ascii="Symbol" w:hAnsi="Symbol" w:hint="default"/>
      </w:rPr>
    </w:lvl>
    <w:lvl w:ilvl="1" w:tplc="0C0A0003" w:tentative="1">
      <w:start w:val="1"/>
      <w:numFmt w:val="bullet"/>
      <w:lvlText w:val="o"/>
      <w:lvlJc w:val="left"/>
      <w:pPr>
        <w:ind w:left="1867" w:hanging="360"/>
      </w:pPr>
      <w:rPr>
        <w:rFonts w:ascii="Courier New" w:hAnsi="Courier New" w:cs="Courier New" w:hint="default"/>
      </w:rPr>
    </w:lvl>
    <w:lvl w:ilvl="2" w:tplc="0C0A0005" w:tentative="1">
      <w:start w:val="1"/>
      <w:numFmt w:val="bullet"/>
      <w:lvlText w:val=""/>
      <w:lvlJc w:val="left"/>
      <w:pPr>
        <w:ind w:left="2587" w:hanging="360"/>
      </w:pPr>
      <w:rPr>
        <w:rFonts w:ascii="Wingdings" w:hAnsi="Wingdings" w:hint="default"/>
      </w:rPr>
    </w:lvl>
    <w:lvl w:ilvl="3" w:tplc="0C0A0001" w:tentative="1">
      <w:start w:val="1"/>
      <w:numFmt w:val="bullet"/>
      <w:lvlText w:val=""/>
      <w:lvlJc w:val="left"/>
      <w:pPr>
        <w:ind w:left="3307" w:hanging="360"/>
      </w:pPr>
      <w:rPr>
        <w:rFonts w:ascii="Symbol" w:hAnsi="Symbol" w:hint="default"/>
      </w:rPr>
    </w:lvl>
    <w:lvl w:ilvl="4" w:tplc="0C0A0003" w:tentative="1">
      <w:start w:val="1"/>
      <w:numFmt w:val="bullet"/>
      <w:lvlText w:val="o"/>
      <w:lvlJc w:val="left"/>
      <w:pPr>
        <w:ind w:left="4027" w:hanging="360"/>
      </w:pPr>
      <w:rPr>
        <w:rFonts w:ascii="Courier New" w:hAnsi="Courier New" w:cs="Courier New" w:hint="default"/>
      </w:rPr>
    </w:lvl>
    <w:lvl w:ilvl="5" w:tplc="0C0A0005" w:tentative="1">
      <w:start w:val="1"/>
      <w:numFmt w:val="bullet"/>
      <w:lvlText w:val=""/>
      <w:lvlJc w:val="left"/>
      <w:pPr>
        <w:ind w:left="4747" w:hanging="360"/>
      </w:pPr>
      <w:rPr>
        <w:rFonts w:ascii="Wingdings" w:hAnsi="Wingdings" w:hint="default"/>
      </w:rPr>
    </w:lvl>
    <w:lvl w:ilvl="6" w:tplc="0C0A0001" w:tentative="1">
      <w:start w:val="1"/>
      <w:numFmt w:val="bullet"/>
      <w:lvlText w:val=""/>
      <w:lvlJc w:val="left"/>
      <w:pPr>
        <w:ind w:left="5467" w:hanging="360"/>
      </w:pPr>
      <w:rPr>
        <w:rFonts w:ascii="Symbol" w:hAnsi="Symbol" w:hint="default"/>
      </w:rPr>
    </w:lvl>
    <w:lvl w:ilvl="7" w:tplc="0C0A0003" w:tentative="1">
      <w:start w:val="1"/>
      <w:numFmt w:val="bullet"/>
      <w:lvlText w:val="o"/>
      <w:lvlJc w:val="left"/>
      <w:pPr>
        <w:ind w:left="6187" w:hanging="360"/>
      </w:pPr>
      <w:rPr>
        <w:rFonts w:ascii="Courier New" w:hAnsi="Courier New" w:cs="Courier New" w:hint="default"/>
      </w:rPr>
    </w:lvl>
    <w:lvl w:ilvl="8" w:tplc="0C0A0005" w:tentative="1">
      <w:start w:val="1"/>
      <w:numFmt w:val="bullet"/>
      <w:lvlText w:val=""/>
      <w:lvlJc w:val="left"/>
      <w:pPr>
        <w:ind w:left="6907" w:hanging="360"/>
      </w:pPr>
      <w:rPr>
        <w:rFonts w:ascii="Wingdings" w:hAnsi="Wingdings" w:hint="default"/>
      </w:rPr>
    </w:lvl>
  </w:abstractNum>
  <w:abstractNum w:abstractNumId="27" w15:restartNumberingAfterBreak="0">
    <w:nsid w:val="69A35E27"/>
    <w:multiLevelType w:val="hybridMultilevel"/>
    <w:tmpl w:val="9E52310A"/>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28" w15:restartNumberingAfterBreak="0">
    <w:nsid w:val="6BC12435"/>
    <w:multiLevelType w:val="hybridMultilevel"/>
    <w:tmpl w:val="68D64A38"/>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D54DF3"/>
    <w:multiLevelType w:val="hybridMultilevel"/>
    <w:tmpl w:val="6D3E40AC"/>
    <w:lvl w:ilvl="0" w:tplc="28E8C296">
      <w:start w:val="2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7B0D78"/>
    <w:multiLevelType w:val="hybridMultilevel"/>
    <w:tmpl w:val="72D82FE2"/>
    <w:lvl w:ilvl="0" w:tplc="3C8C326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9C0A68"/>
    <w:multiLevelType w:val="hybridMultilevel"/>
    <w:tmpl w:val="F55087CE"/>
    <w:lvl w:ilvl="0" w:tplc="29703C4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C191871"/>
    <w:multiLevelType w:val="hybridMultilevel"/>
    <w:tmpl w:val="03148FF0"/>
    <w:lvl w:ilvl="0" w:tplc="0486DDB4">
      <w:start w:val="1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15755236">
    <w:abstractNumId w:val="6"/>
  </w:num>
  <w:num w:numId="2" w16cid:durableId="1464424620">
    <w:abstractNumId w:val="21"/>
  </w:num>
  <w:num w:numId="3" w16cid:durableId="2048527266">
    <w:abstractNumId w:val="22"/>
  </w:num>
  <w:num w:numId="4" w16cid:durableId="1380547001">
    <w:abstractNumId w:val="24"/>
  </w:num>
  <w:num w:numId="5" w16cid:durableId="1965573923">
    <w:abstractNumId w:val="14"/>
  </w:num>
  <w:num w:numId="6" w16cid:durableId="1262491367">
    <w:abstractNumId w:val="9"/>
  </w:num>
  <w:num w:numId="7" w16cid:durableId="1414081514">
    <w:abstractNumId w:val="20"/>
  </w:num>
  <w:num w:numId="8" w16cid:durableId="576329435">
    <w:abstractNumId w:val="32"/>
  </w:num>
  <w:num w:numId="9" w16cid:durableId="1392313511">
    <w:abstractNumId w:val="1"/>
  </w:num>
  <w:num w:numId="10" w16cid:durableId="1475413687">
    <w:abstractNumId w:val="13"/>
  </w:num>
  <w:num w:numId="11" w16cid:durableId="1661739190">
    <w:abstractNumId w:val="2"/>
  </w:num>
  <w:num w:numId="12" w16cid:durableId="1483080252">
    <w:abstractNumId w:val="0"/>
  </w:num>
  <w:num w:numId="13" w16cid:durableId="1367632109">
    <w:abstractNumId w:val="18"/>
  </w:num>
  <w:num w:numId="14" w16cid:durableId="595359137">
    <w:abstractNumId w:val="19"/>
  </w:num>
  <w:num w:numId="15" w16cid:durableId="1331106354">
    <w:abstractNumId w:val="25"/>
  </w:num>
  <w:num w:numId="16" w16cid:durableId="797534436">
    <w:abstractNumId w:val="7"/>
  </w:num>
  <w:num w:numId="17" w16cid:durableId="910694072">
    <w:abstractNumId w:val="5"/>
  </w:num>
  <w:num w:numId="18" w16cid:durableId="470758069">
    <w:abstractNumId w:val="30"/>
  </w:num>
  <w:num w:numId="19" w16cid:durableId="755246426">
    <w:abstractNumId w:val="3"/>
  </w:num>
  <w:num w:numId="20" w16cid:durableId="1765488760">
    <w:abstractNumId w:val="23"/>
  </w:num>
  <w:num w:numId="21" w16cid:durableId="1477068310">
    <w:abstractNumId w:val="12"/>
  </w:num>
  <w:num w:numId="22" w16cid:durableId="1060590697">
    <w:abstractNumId w:val="8"/>
  </w:num>
  <w:num w:numId="23" w16cid:durableId="455173457">
    <w:abstractNumId w:val="27"/>
  </w:num>
  <w:num w:numId="24" w16cid:durableId="883172375">
    <w:abstractNumId w:val="26"/>
  </w:num>
  <w:num w:numId="25" w16cid:durableId="2143881595">
    <w:abstractNumId w:val="29"/>
  </w:num>
  <w:num w:numId="26" w16cid:durableId="1013998512">
    <w:abstractNumId w:val="15"/>
  </w:num>
  <w:num w:numId="27" w16cid:durableId="866216264">
    <w:abstractNumId w:val="28"/>
  </w:num>
  <w:num w:numId="28" w16cid:durableId="1462458266">
    <w:abstractNumId w:val="4"/>
  </w:num>
  <w:num w:numId="29" w16cid:durableId="2138639902">
    <w:abstractNumId w:val="17"/>
  </w:num>
  <w:num w:numId="30" w16cid:durableId="1953778576">
    <w:abstractNumId w:val="10"/>
  </w:num>
  <w:num w:numId="31" w16cid:durableId="891381058">
    <w:abstractNumId w:val="16"/>
  </w:num>
  <w:num w:numId="32" w16cid:durableId="579096828">
    <w:abstractNumId w:val="11"/>
  </w:num>
  <w:num w:numId="33" w16cid:durableId="12082262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10"/>
    <w:rsid w:val="00000EB0"/>
    <w:rsid w:val="0000165B"/>
    <w:rsid w:val="00001A60"/>
    <w:rsid w:val="0000224F"/>
    <w:rsid w:val="000023BD"/>
    <w:rsid w:val="00002A0A"/>
    <w:rsid w:val="0000363B"/>
    <w:rsid w:val="00003AE6"/>
    <w:rsid w:val="000041D3"/>
    <w:rsid w:val="0000550D"/>
    <w:rsid w:val="00005965"/>
    <w:rsid w:val="000061DD"/>
    <w:rsid w:val="00010094"/>
    <w:rsid w:val="0001079A"/>
    <w:rsid w:val="000108B8"/>
    <w:rsid w:val="00010C0C"/>
    <w:rsid w:val="000111F1"/>
    <w:rsid w:val="0001209E"/>
    <w:rsid w:val="00013292"/>
    <w:rsid w:val="00014767"/>
    <w:rsid w:val="00015861"/>
    <w:rsid w:val="00015930"/>
    <w:rsid w:val="00015E63"/>
    <w:rsid w:val="00015EEB"/>
    <w:rsid w:val="00016788"/>
    <w:rsid w:val="0001686B"/>
    <w:rsid w:val="0001688B"/>
    <w:rsid w:val="00016D66"/>
    <w:rsid w:val="00017006"/>
    <w:rsid w:val="00017ED8"/>
    <w:rsid w:val="0002051C"/>
    <w:rsid w:val="00020A70"/>
    <w:rsid w:val="00021398"/>
    <w:rsid w:val="0002144B"/>
    <w:rsid w:val="00021636"/>
    <w:rsid w:val="00021A8E"/>
    <w:rsid w:val="00021B85"/>
    <w:rsid w:val="00021C4C"/>
    <w:rsid w:val="0002208F"/>
    <w:rsid w:val="000227A7"/>
    <w:rsid w:val="00022860"/>
    <w:rsid w:val="00022B47"/>
    <w:rsid w:val="00023E41"/>
    <w:rsid w:val="00024084"/>
    <w:rsid w:val="00024326"/>
    <w:rsid w:val="000249A0"/>
    <w:rsid w:val="00024A0B"/>
    <w:rsid w:val="00024C4F"/>
    <w:rsid w:val="00024EB5"/>
    <w:rsid w:val="00025B9A"/>
    <w:rsid w:val="000263C3"/>
    <w:rsid w:val="0002702A"/>
    <w:rsid w:val="00027284"/>
    <w:rsid w:val="000275D9"/>
    <w:rsid w:val="00031266"/>
    <w:rsid w:val="000313EE"/>
    <w:rsid w:val="00031A49"/>
    <w:rsid w:val="00033031"/>
    <w:rsid w:val="00034011"/>
    <w:rsid w:val="000342E2"/>
    <w:rsid w:val="00034412"/>
    <w:rsid w:val="0003461E"/>
    <w:rsid w:val="000347DA"/>
    <w:rsid w:val="00034E4E"/>
    <w:rsid w:val="0003524D"/>
    <w:rsid w:val="000353C3"/>
    <w:rsid w:val="00035933"/>
    <w:rsid w:val="00035B8C"/>
    <w:rsid w:val="000360FF"/>
    <w:rsid w:val="00036460"/>
    <w:rsid w:val="00036D36"/>
    <w:rsid w:val="00037B6E"/>
    <w:rsid w:val="00037DA1"/>
    <w:rsid w:val="000405C3"/>
    <w:rsid w:val="000413D9"/>
    <w:rsid w:val="00041D45"/>
    <w:rsid w:val="00042024"/>
    <w:rsid w:val="00042082"/>
    <w:rsid w:val="0004328C"/>
    <w:rsid w:val="0004352F"/>
    <w:rsid w:val="00043AE0"/>
    <w:rsid w:val="00043D33"/>
    <w:rsid w:val="0004503F"/>
    <w:rsid w:val="000451E5"/>
    <w:rsid w:val="000454DE"/>
    <w:rsid w:val="00046F17"/>
    <w:rsid w:val="00047296"/>
    <w:rsid w:val="00050070"/>
    <w:rsid w:val="000504E1"/>
    <w:rsid w:val="00050F71"/>
    <w:rsid w:val="00051CFF"/>
    <w:rsid w:val="00052DC0"/>
    <w:rsid w:val="000537E1"/>
    <w:rsid w:val="00053C6B"/>
    <w:rsid w:val="00054345"/>
    <w:rsid w:val="0005511D"/>
    <w:rsid w:val="00055BCD"/>
    <w:rsid w:val="000561E1"/>
    <w:rsid w:val="0005639E"/>
    <w:rsid w:val="00056E42"/>
    <w:rsid w:val="000576C8"/>
    <w:rsid w:val="00060165"/>
    <w:rsid w:val="000603CD"/>
    <w:rsid w:val="00060A4F"/>
    <w:rsid w:val="00060B6F"/>
    <w:rsid w:val="00060F9B"/>
    <w:rsid w:val="000610CD"/>
    <w:rsid w:val="00061133"/>
    <w:rsid w:val="0006164E"/>
    <w:rsid w:val="0006214B"/>
    <w:rsid w:val="00062955"/>
    <w:rsid w:val="00062D75"/>
    <w:rsid w:val="00063163"/>
    <w:rsid w:val="000645B6"/>
    <w:rsid w:val="000646FB"/>
    <w:rsid w:val="00064906"/>
    <w:rsid w:val="000649FC"/>
    <w:rsid w:val="0006514E"/>
    <w:rsid w:val="0006586B"/>
    <w:rsid w:val="00065BF1"/>
    <w:rsid w:val="00066613"/>
    <w:rsid w:val="000700E0"/>
    <w:rsid w:val="00070796"/>
    <w:rsid w:val="00070B30"/>
    <w:rsid w:val="00071C78"/>
    <w:rsid w:val="000720DC"/>
    <w:rsid w:val="000723FF"/>
    <w:rsid w:val="00072D06"/>
    <w:rsid w:val="00072E34"/>
    <w:rsid w:val="00072FBF"/>
    <w:rsid w:val="00073FC9"/>
    <w:rsid w:val="000757E6"/>
    <w:rsid w:val="00075899"/>
    <w:rsid w:val="0007650A"/>
    <w:rsid w:val="0007673D"/>
    <w:rsid w:val="00077647"/>
    <w:rsid w:val="00077671"/>
    <w:rsid w:val="0007790B"/>
    <w:rsid w:val="00080300"/>
    <w:rsid w:val="00080474"/>
    <w:rsid w:val="000805F4"/>
    <w:rsid w:val="0008091B"/>
    <w:rsid w:val="00080C0B"/>
    <w:rsid w:val="00080C55"/>
    <w:rsid w:val="000814F0"/>
    <w:rsid w:val="00081D7C"/>
    <w:rsid w:val="00082351"/>
    <w:rsid w:val="000823D2"/>
    <w:rsid w:val="00082E38"/>
    <w:rsid w:val="000831D7"/>
    <w:rsid w:val="0008396C"/>
    <w:rsid w:val="00083B09"/>
    <w:rsid w:val="00084164"/>
    <w:rsid w:val="00084B38"/>
    <w:rsid w:val="00084FF6"/>
    <w:rsid w:val="0008548E"/>
    <w:rsid w:val="0008618A"/>
    <w:rsid w:val="000864FE"/>
    <w:rsid w:val="0008676D"/>
    <w:rsid w:val="00086B27"/>
    <w:rsid w:val="0008714E"/>
    <w:rsid w:val="0008737E"/>
    <w:rsid w:val="00087673"/>
    <w:rsid w:val="000878E0"/>
    <w:rsid w:val="00087CC6"/>
    <w:rsid w:val="00087E27"/>
    <w:rsid w:val="000900DB"/>
    <w:rsid w:val="00090FB5"/>
    <w:rsid w:val="0009160C"/>
    <w:rsid w:val="000923C0"/>
    <w:rsid w:val="00092EFD"/>
    <w:rsid w:val="000935E0"/>
    <w:rsid w:val="00093685"/>
    <w:rsid w:val="00094044"/>
    <w:rsid w:val="0009529D"/>
    <w:rsid w:val="0009559C"/>
    <w:rsid w:val="000955A8"/>
    <w:rsid w:val="00095651"/>
    <w:rsid w:val="00095BB4"/>
    <w:rsid w:val="000962B0"/>
    <w:rsid w:val="000962C0"/>
    <w:rsid w:val="0009676E"/>
    <w:rsid w:val="00096DC3"/>
    <w:rsid w:val="00096EC9"/>
    <w:rsid w:val="0009791D"/>
    <w:rsid w:val="00097C16"/>
    <w:rsid w:val="000A1616"/>
    <w:rsid w:val="000A1955"/>
    <w:rsid w:val="000A1966"/>
    <w:rsid w:val="000A25D1"/>
    <w:rsid w:val="000A2C74"/>
    <w:rsid w:val="000A328E"/>
    <w:rsid w:val="000A398B"/>
    <w:rsid w:val="000A3D9D"/>
    <w:rsid w:val="000A4002"/>
    <w:rsid w:val="000A403F"/>
    <w:rsid w:val="000A4549"/>
    <w:rsid w:val="000A455C"/>
    <w:rsid w:val="000A52A7"/>
    <w:rsid w:val="000A562D"/>
    <w:rsid w:val="000A5C92"/>
    <w:rsid w:val="000A66C5"/>
    <w:rsid w:val="000A7185"/>
    <w:rsid w:val="000A7B20"/>
    <w:rsid w:val="000A7D0B"/>
    <w:rsid w:val="000B2122"/>
    <w:rsid w:val="000B212D"/>
    <w:rsid w:val="000B261E"/>
    <w:rsid w:val="000B2979"/>
    <w:rsid w:val="000B2F82"/>
    <w:rsid w:val="000B32A1"/>
    <w:rsid w:val="000B343D"/>
    <w:rsid w:val="000B409C"/>
    <w:rsid w:val="000B4410"/>
    <w:rsid w:val="000B4B6C"/>
    <w:rsid w:val="000B5608"/>
    <w:rsid w:val="000B5AFA"/>
    <w:rsid w:val="000B5D65"/>
    <w:rsid w:val="000B61FF"/>
    <w:rsid w:val="000B63F1"/>
    <w:rsid w:val="000B71FE"/>
    <w:rsid w:val="000C0225"/>
    <w:rsid w:val="000C28E5"/>
    <w:rsid w:val="000C3816"/>
    <w:rsid w:val="000C3D9E"/>
    <w:rsid w:val="000C412E"/>
    <w:rsid w:val="000C45CA"/>
    <w:rsid w:val="000C4D98"/>
    <w:rsid w:val="000C5058"/>
    <w:rsid w:val="000C5364"/>
    <w:rsid w:val="000C5584"/>
    <w:rsid w:val="000C5A95"/>
    <w:rsid w:val="000C5EEC"/>
    <w:rsid w:val="000C648E"/>
    <w:rsid w:val="000C67FE"/>
    <w:rsid w:val="000C694F"/>
    <w:rsid w:val="000C742A"/>
    <w:rsid w:val="000C7727"/>
    <w:rsid w:val="000C7754"/>
    <w:rsid w:val="000C7BC0"/>
    <w:rsid w:val="000C7F9E"/>
    <w:rsid w:val="000D0061"/>
    <w:rsid w:val="000D008A"/>
    <w:rsid w:val="000D0198"/>
    <w:rsid w:val="000D0619"/>
    <w:rsid w:val="000D1951"/>
    <w:rsid w:val="000D1F2C"/>
    <w:rsid w:val="000D23AA"/>
    <w:rsid w:val="000D2678"/>
    <w:rsid w:val="000D270A"/>
    <w:rsid w:val="000D3542"/>
    <w:rsid w:val="000D48B2"/>
    <w:rsid w:val="000D4A29"/>
    <w:rsid w:val="000D4AA0"/>
    <w:rsid w:val="000D5EF2"/>
    <w:rsid w:val="000D6429"/>
    <w:rsid w:val="000D6A09"/>
    <w:rsid w:val="000D6A6C"/>
    <w:rsid w:val="000D6ECB"/>
    <w:rsid w:val="000D7329"/>
    <w:rsid w:val="000D7BF9"/>
    <w:rsid w:val="000D7F86"/>
    <w:rsid w:val="000E087F"/>
    <w:rsid w:val="000E0B80"/>
    <w:rsid w:val="000E0B9F"/>
    <w:rsid w:val="000E0E6A"/>
    <w:rsid w:val="000E1B3C"/>
    <w:rsid w:val="000E22E0"/>
    <w:rsid w:val="000E2801"/>
    <w:rsid w:val="000E2980"/>
    <w:rsid w:val="000E2AFB"/>
    <w:rsid w:val="000E2B1B"/>
    <w:rsid w:val="000E34A5"/>
    <w:rsid w:val="000E36C2"/>
    <w:rsid w:val="000E3E12"/>
    <w:rsid w:val="000E3ECB"/>
    <w:rsid w:val="000E425A"/>
    <w:rsid w:val="000E4D87"/>
    <w:rsid w:val="000E6031"/>
    <w:rsid w:val="000E652F"/>
    <w:rsid w:val="000E688D"/>
    <w:rsid w:val="000E69A7"/>
    <w:rsid w:val="000E784E"/>
    <w:rsid w:val="000E7F20"/>
    <w:rsid w:val="000F00B5"/>
    <w:rsid w:val="000F00ED"/>
    <w:rsid w:val="000F013B"/>
    <w:rsid w:val="000F0F38"/>
    <w:rsid w:val="000F1B41"/>
    <w:rsid w:val="000F22FF"/>
    <w:rsid w:val="000F2B02"/>
    <w:rsid w:val="000F2DED"/>
    <w:rsid w:val="000F366B"/>
    <w:rsid w:val="000F3B30"/>
    <w:rsid w:val="000F3D4F"/>
    <w:rsid w:val="000F3FE8"/>
    <w:rsid w:val="000F4883"/>
    <w:rsid w:val="000F5A9D"/>
    <w:rsid w:val="000F5C65"/>
    <w:rsid w:val="000F5E25"/>
    <w:rsid w:val="000F5E4C"/>
    <w:rsid w:val="000F60D5"/>
    <w:rsid w:val="000F6563"/>
    <w:rsid w:val="001004E7"/>
    <w:rsid w:val="00100FD6"/>
    <w:rsid w:val="00101183"/>
    <w:rsid w:val="001016A2"/>
    <w:rsid w:val="001023D3"/>
    <w:rsid w:val="00103225"/>
    <w:rsid w:val="00103914"/>
    <w:rsid w:val="00103BB9"/>
    <w:rsid w:val="00103BCA"/>
    <w:rsid w:val="001048EF"/>
    <w:rsid w:val="001050AB"/>
    <w:rsid w:val="0010558B"/>
    <w:rsid w:val="00105CC3"/>
    <w:rsid w:val="00105D95"/>
    <w:rsid w:val="00105E3E"/>
    <w:rsid w:val="001068EE"/>
    <w:rsid w:val="00106981"/>
    <w:rsid w:val="001079C6"/>
    <w:rsid w:val="0011001D"/>
    <w:rsid w:val="001101E7"/>
    <w:rsid w:val="00110480"/>
    <w:rsid w:val="00110580"/>
    <w:rsid w:val="00110794"/>
    <w:rsid w:val="00111282"/>
    <w:rsid w:val="001112C5"/>
    <w:rsid w:val="001116E6"/>
    <w:rsid w:val="00111B4B"/>
    <w:rsid w:val="00111E30"/>
    <w:rsid w:val="00113FFC"/>
    <w:rsid w:val="001155AC"/>
    <w:rsid w:val="00116B7D"/>
    <w:rsid w:val="00116D0D"/>
    <w:rsid w:val="00116F25"/>
    <w:rsid w:val="0011705C"/>
    <w:rsid w:val="00117491"/>
    <w:rsid w:val="00117ABA"/>
    <w:rsid w:val="00117E43"/>
    <w:rsid w:val="00117F00"/>
    <w:rsid w:val="001208B9"/>
    <w:rsid w:val="001210D7"/>
    <w:rsid w:val="00121717"/>
    <w:rsid w:val="00121BB8"/>
    <w:rsid w:val="00121F19"/>
    <w:rsid w:val="001222B4"/>
    <w:rsid w:val="001228F7"/>
    <w:rsid w:val="00122D34"/>
    <w:rsid w:val="001241B1"/>
    <w:rsid w:val="0012438C"/>
    <w:rsid w:val="001267C7"/>
    <w:rsid w:val="00126C64"/>
    <w:rsid w:val="00127254"/>
    <w:rsid w:val="00130881"/>
    <w:rsid w:val="00132E67"/>
    <w:rsid w:val="00133528"/>
    <w:rsid w:val="00133726"/>
    <w:rsid w:val="00133958"/>
    <w:rsid w:val="00133BB3"/>
    <w:rsid w:val="00135923"/>
    <w:rsid w:val="00135DB0"/>
    <w:rsid w:val="001365DC"/>
    <w:rsid w:val="00137800"/>
    <w:rsid w:val="001379D8"/>
    <w:rsid w:val="00137C8D"/>
    <w:rsid w:val="001403D1"/>
    <w:rsid w:val="00140CE0"/>
    <w:rsid w:val="001413EC"/>
    <w:rsid w:val="0014173B"/>
    <w:rsid w:val="00143695"/>
    <w:rsid w:val="00143CE3"/>
    <w:rsid w:val="00143DEB"/>
    <w:rsid w:val="001445BF"/>
    <w:rsid w:val="0014483C"/>
    <w:rsid w:val="00144D31"/>
    <w:rsid w:val="001468FF"/>
    <w:rsid w:val="00146B40"/>
    <w:rsid w:val="00146E88"/>
    <w:rsid w:val="00147204"/>
    <w:rsid w:val="001476E2"/>
    <w:rsid w:val="00147B2D"/>
    <w:rsid w:val="001507F4"/>
    <w:rsid w:val="00150A8B"/>
    <w:rsid w:val="00151338"/>
    <w:rsid w:val="00151940"/>
    <w:rsid w:val="00151B68"/>
    <w:rsid w:val="00152178"/>
    <w:rsid w:val="001524FC"/>
    <w:rsid w:val="00152986"/>
    <w:rsid w:val="001532DD"/>
    <w:rsid w:val="00153871"/>
    <w:rsid w:val="00154083"/>
    <w:rsid w:val="00154088"/>
    <w:rsid w:val="001543F4"/>
    <w:rsid w:val="001544F4"/>
    <w:rsid w:val="00156B01"/>
    <w:rsid w:val="00156B46"/>
    <w:rsid w:val="0015730E"/>
    <w:rsid w:val="00157348"/>
    <w:rsid w:val="00157689"/>
    <w:rsid w:val="00157800"/>
    <w:rsid w:val="00157DD8"/>
    <w:rsid w:val="001602D4"/>
    <w:rsid w:val="001603ED"/>
    <w:rsid w:val="001604F7"/>
    <w:rsid w:val="00162319"/>
    <w:rsid w:val="0016258F"/>
    <w:rsid w:val="00162D18"/>
    <w:rsid w:val="001635E6"/>
    <w:rsid w:val="001651BF"/>
    <w:rsid w:val="00165E37"/>
    <w:rsid w:val="00165ED9"/>
    <w:rsid w:val="00165F0F"/>
    <w:rsid w:val="001661AE"/>
    <w:rsid w:val="00166690"/>
    <w:rsid w:val="00167515"/>
    <w:rsid w:val="001677B1"/>
    <w:rsid w:val="00167F3B"/>
    <w:rsid w:val="00171E69"/>
    <w:rsid w:val="00172502"/>
    <w:rsid w:val="00172965"/>
    <w:rsid w:val="001729A8"/>
    <w:rsid w:val="0017305F"/>
    <w:rsid w:val="0017363F"/>
    <w:rsid w:val="001742A8"/>
    <w:rsid w:val="0017445D"/>
    <w:rsid w:val="0017459F"/>
    <w:rsid w:val="001764A2"/>
    <w:rsid w:val="0017677B"/>
    <w:rsid w:val="00176F9F"/>
    <w:rsid w:val="00177C6A"/>
    <w:rsid w:val="00180026"/>
    <w:rsid w:val="0018035E"/>
    <w:rsid w:val="0018082B"/>
    <w:rsid w:val="0018097E"/>
    <w:rsid w:val="00182AF5"/>
    <w:rsid w:val="0018343C"/>
    <w:rsid w:val="00183B11"/>
    <w:rsid w:val="0018427E"/>
    <w:rsid w:val="0018469F"/>
    <w:rsid w:val="00184A1F"/>
    <w:rsid w:val="00184A53"/>
    <w:rsid w:val="0018522A"/>
    <w:rsid w:val="0018525A"/>
    <w:rsid w:val="00185D17"/>
    <w:rsid w:val="00185E53"/>
    <w:rsid w:val="00185EDB"/>
    <w:rsid w:val="001867D5"/>
    <w:rsid w:val="00187395"/>
    <w:rsid w:val="00187856"/>
    <w:rsid w:val="00190CB8"/>
    <w:rsid w:val="001918F0"/>
    <w:rsid w:val="00191A7A"/>
    <w:rsid w:val="001926AF"/>
    <w:rsid w:val="00192B7A"/>
    <w:rsid w:val="00193437"/>
    <w:rsid w:val="00193635"/>
    <w:rsid w:val="0019368E"/>
    <w:rsid w:val="001944D1"/>
    <w:rsid w:val="0019450B"/>
    <w:rsid w:val="001946F9"/>
    <w:rsid w:val="00194AF7"/>
    <w:rsid w:val="00195B95"/>
    <w:rsid w:val="00195F82"/>
    <w:rsid w:val="0019740E"/>
    <w:rsid w:val="00197445"/>
    <w:rsid w:val="00197661"/>
    <w:rsid w:val="00197A4F"/>
    <w:rsid w:val="00197DC4"/>
    <w:rsid w:val="001A0042"/>
    <w:rsid w:val="001A017C"/>
    <w:rsid w:val="001A01A4"/>
    <w:rsid w:val="001A09A9"/>
    <w:rsid w:val="001A09E3"/>
    <w:rsid w:val="001A1151"/>
    <w:rsid w:val="001A13F4"/>
    <w:rsid w:val="001A26AA"/>
    <w:rsid w:val="001A2DBD"/>
    <w:rsid w:val="001A533F"/>
    <w:rsid w:val="001A6AE7"/>
    <w:rsid w:val="001A6EC0"/>
    <w:rsid w:val="001A7E63"/>
    <w:rsid w:val="001B08A6"/>
    <w:rsid w:val="001B0AA9"/>
    <w:rsid w:val="001B0ED8"/>
    <w:rsid w:val="001B15F5"/>
    <w:rsid w:val="001B178B"/>
    <w:rsid w:val="001B18CF"/>
    <w:rsid w:val="001B1F4A"/>
    <w:rsid w:val="001B30F9"/>
    <w:rsid w:val="001B3994"/>
    <w:rsid w:val="001B4874"/>
    <w:rsid w:val="001B5271"/>
    <w:rsid w:val="001B5328"/>
    <w:rsid w:val="001B653F"/>
    <w:rsid w:val="001B65BF"/>
    <w:rsid w:val="001B6BBB"/>
    <w:rsid w:val="001B6DC6"/>
    <w:rsid w:val="001B7090"/>
    <w:rsid w:val="001B728E"/>
    <w:rsid w:val="001B762D"/>
    <w:rsid w:val="001B7E9C"/>
    <w:rsid w:val="001C0199"/>
    <w:rsid w:val="001C09DB"/>
    <w:rsid w:val="001C0FA9"/>
    <w:rsid w:val="001C29C2"/>
    <w:rsid w:val="001C31B4"/>
    <w:rsid w:val="001C32BC"/>
    <w:rsid w:val="001C3467"/>
    <w:rsid w:val="001C439F"/>
    <w:rsid w:val="001C4847"/>
    <w:rsid w:val="001C4D88"/>
    <w:rsid w:val="001C5360"/>
    <w:rsid w:val="001C584B"/>
    <w:rsid w:val="001C5EB9"/>
    <w:rsid w:val="001C646B"/>
    <w:rsid w:val="001D0EF6"/>
    <w:rsid w:val="001D1581"/>
    <w:rsid w:val="001D1C84"/>
    <w:rsid w:val="001D1DC1"/>
    <w:rsid w:val="001D22C1"/>
    <w:rsid w:val="001D2EFE"/>
    <w:rsid w:val="001D4003"/>
    <w:rsid w:val="001D4A8C"/>
    <w:rsid w:val="001D5154"/>
    <w:rsid w:val="001D5284"/>
    <w:rsid w:val="001D54A6"/>
    <w:rsid w:val="001D5C17"/>
    <w:rsid w:val="001D60CE"/>
    <w:rsid w:val="001D6272"/>
    <w:rsid w:val="001D6537"/>
    <w:rsid w:val="001D65BA"/>
    <w:rsid w:val="001D6B22"/>
    <w:rsid w:val="001D6C71"/>
    <w:rsid w:val="001D6DEC"/>
    <w:rsid w:val="001D7BAE"/>
    <w:rsid w:val="001E0072"/>
    <w:rsid w:val="001E038B"/>
    <w:rsid w:val="001E11A4"/>
    <w:rsid w:val="001E13FD"/>
    <w:rsid w:val="001E1708"/>
    <w:rsid w:val="001E196D"/>
    <w:rsid w:val="001E1D5C"/>
    <w:rsid w:val="001E22C6"/>
    <w:rsid w:val="001E269F"/>
    <w:rsid w:val="001E27C3"/>
    <w:rsid w:val="001E2E95"/>
    <w:rsid w:val="001E3338"/>
    <w:rsid w:val="001E378D"/>
    <w:rsid w:val="001E39DA"/>
    <w:rsid w:val="001E540B"/>
    <w:rsid w:val="001E58D7"/>
    <w:rsid w:val="001E5E09"/>
    <w:rsid w:val="001E5F35"/>
    <w:rsid w:val="001E615A"/>
    <w:rsid w:val="001E6323"/>
    <w:rsid w:val="001E6610"/>
    <w:rsid w:val="001E6C2C"/>
    <w:rsid w:val="001E6E91"/>
    <w:rsid w:val="001E700F"/>
    <w:rsid w:val="001E7434"/>
    <w:rsid w:val="001E7E21"/>
    <w:rsid w:val="001F0463"/>
    <w:rsid w:val="001F0682"/>
    <w:rsid w:val="001F0771"/>
    <w:rsid w:val="001F0818"/>
    <w:rsid w:val="001F1B31"/>
    <w:rsid w:val="001F2106"/>
    <w:rsid w:val="001F2149"/>
    <w:rsid w:val="001F25AB"/>
    <w:rsid w:val="001F265D"/>
    <w:rsid w:val="001F290E"/>
    <w:rsid w:val="001F2BA4"/>
    <w:rsid w:val="001F2E04"/>
    <w:rsid w:val="001F2E6D"/>
    <w:rsid w:val="001F3E20"/>
    <w:rsid w:val="001F3E90"/>
    <w:rsid w:val="001F4437"/>
    <w:rsid w:val="001F4C30"/>
    <w:rsid w:val="001F5517"/>
    <w:rsid w:val="001F567F"/>
    <w:rsid w:val="001F78BD"/>
    <w:rsid w:val="001F7A4C"/>
    <w:rsid w:val="002002D4"/>
    <w:rsid w:val="00200C8E"/>
    <w:rsid w:val="00202744"/>
    <w:rsid w:val="00203008"/>
    <w:rsid w:val="002031EF"/>
    <w:rsid w:val="002031F7"/>
    <w:rsid w:val="002039E5"/>
    <w:rsid w:val="00203B5E"/>
    <w:rsid w:val="00204E65"/>
    <w:rsid w:val="002065BA"/>
    <w:rsid w:val="002067FB"/>
    <w:rsid w:val="00210C7C"/>
    <w:rsid w:val="00210F97"/>
    <w:rsid w:val="00211059"/>
    <w:rsid w:val="00211300"/>
    <w:rsid w:val="00211C22"/>
    <w:rsid w:val="00211CDF"/>
    <w:rsid w:val="00211EE4"/>
    <w:rsid w:val="002120C1"/>
    <w:rsid w:val="002120FB"/>
    <w:rsid w:val="002134AC"/>
    <w:rsid w:val="0021360A"/>
    <w:rsid w:val="002137A0"/>
    <w:rsid w:val="00213EC3"/>
    <w:rsid w:val="00214091"/>
    <w:rsid w:val="0021510A"/>
    <w:rsid w:val="00215BFC"/>
    <w:rsid w:val="00215E49"/>
    <w:rsid w:val="00215F77"/>
    <w:rsid w:val="0021609D"/>
    <w:rsid w:val="002162C2"/>
    <w:rsid w:val="002167C6"/>
    <w:rsid w:val="00216F23"/>
    <w:rsid w:val="00220035"/>
    <w:rsid w:val="00220B45"/>
    <w:rsid w:val="00220D88"/>
    <w:rsid w:val="00222419"/>
    <w:rsid w:val="00222AFE"/>
    <w:rsid w:val="00222C1A"/>
    <w:rsid w:val="00223B8A"/>
    <w:rsid w:val="00223CB5"/>
    <w:rsid w:val="00223DB6"/>
    <w:rsid w:val="00223EB0"/>
    <w:rsid w:val="00224363"/>
    <w:rsid w:val="002249A9"/>
    <w:rsid w:val="002250BC"/>
    <w:rsid w:val="00225486"/>
    <w:rsid w:val="00225E40"/>
    <w:rsid w:val="002274F5"/>
    <w:rsid w:val="002301D9"/>
    <w:rsid w:val="00230251"/>
    <w:rsid w:val="002303FB"/>
    <w:rsid w:val="00230A52"/>
    <w:rsid w:val="002318CE"/>
    <w:rsid w:val="00231FF4"/>
    <w:rsid w:val="0023211F"/>
    <w:rsid w:val="0023322A"/>
    <w:rsid w:val="002333FD"/>
    <w:rsid w:val="00233BB2"/>
    <w:rsid w:val="00234862"/>
    <w:rsid w:val="00235056"/>
    <w:rsid w:val="002353D6"/>
    <w:rsid w:val="00235E99"/>
    <w:rsid w:val="0023678B"/>
    <w:rsid w:val="00236996"/>
    <w:rsid w:val="00236BC4"/>
    <w:rsid w:val="002377D6"/>
    <w:rsid w:val="00237F4B"/>
    <w:rsid w:val="00240A6B"/>
    <w:rsid w:val="002416BC"/>
    <w:rsid w:val="00241DCE"/>
    <w:rsid w:val="00241EA1"/>
    <w:rsid w:val="002422D1"/>
    <w:rsid w:val="00242CE3"/>
    <w:rsid w:val="00242F91"/>
    <w:rsid w:val="0024323F"/>
    <w:rsid w:val="00244CC7"/>
    <w:rsid w:val="00244D73"/>
    <w:rsid w:val="00245231"/>
    <w:rsid w:val="00245FD1"/>
    <w:rsid w:val="002467E5"/>
    <w:rsid w:val="00247954"/>
    <w:rsid w:val="00247E5D"/>
    <w:rsid w:val="00250C0E"/>
    <w:rsid w:val="00251584"/>
    <w:rsid w:val="002517F9"/>
    <w:rsid w:val="00252091"/>
    <w:rsid w:val="0025212B"/>
    <w:rsid w:val="00252723"/>
    <w:rsid w:val="00252B45"/>
    <w:rsid w:val="0025397F"/>
    <w:rsid w:val="00253FCA"/>
    <w:rsid w:val="002545C6"/>
    <w:rsid w:val="0025532A"/>
    <w:rsid w:val="00255336"/>
    <w:rsid w:val="0025593B"/>
    <w:rsid w:val="00255E47"/>
    <w:rsid w:val="00255E59"/>
    <w:rsid w:val="00255FCA"/>
    <w:rsid w:val="002560BB"/>
    <w:rsid w:val="00256267"/>
    <w:rsid w:val="00256745"/>
    <w:rsid w:val="00256966"/>
    <w:rsid w:val="00256C01"/>
    <w:rsid w:val="00256C65"/>
    <w:rsid w:val="00257082"/>
    <w:rsid w:val="00257912"/>
    <w:rsid w:val="00257C86"/>
    <w:rsid w:val="00257CB2"/>
    <w:rsid w:val="00260DD1"/>
    <w:rsid w:val="002610EB"/>
    <w:rsid w:val="0026135A"/>
    <w:rsid w:val="00261618"/>
    <w:rsid w:val="00261CCF"/>
    <w:rsid w:val="002621D5"/>
    <w:rsid w:val="00262744"/>
    <w:rsid w:val="00262E12"/>
    <w:rsid w:val="00262F72"/>
    <w:rsid w:val="002630BE"/>
    <w:rsid w:val="002632E0"/>
    <w:rsid w:val="0026353F"/>
    <w:rsid w:val="00264204"/>
    <w:rsid w:val="0026423E"/>
    <w:rsid w:val="00264A28"/>
    <w:rsid w:val="00264B8A"/>
    <w:rsid w:val="00265791"/>
    <w:rsid w:val="002657A4"/>
    <w:rsid w:val="00266658"/>
    <w:rsid w:val="00266F23"/>
    <w:rsid w:val="00267187"/>
    <w:rsid w:val="00267233"/>
    <w:rsid w:val="00267B19"/>
    <w:rsid w:val="00267F45"/>
    <w:rsid w:val="00270545"/>
    <w:rsid w:val="00270F22"/>
    <w:rsid w:val="00271898"/>
    <w:rsid w:val="002725B8"/>
    <w:rsid w:val="00272714"/>
    <w:rsid w:val="00272FE3"/>
    <w:rsid w:val="002732A3"/>
    <w:rsid w:val="00273491"/>
    <w:rsid w:val="002735BE"/>
    <w:rsid w:val="00274265"/>
    <w:rsid w:val="00275356"/>
    <w:rsid w:val="002768EA"/>
    <w:rsid w:val="00276969"/>
    <w:rsid w:val="00276AC4"/>
    <w:rsid w:val="0027713E"/>
    <w:rsid w:val="00277819"/>
    <w:rsid w:val="00277BB9"/>
    <w:rsid w:val="00280AA0"/>
    <w:rsid w:val="0028128D"/>
    <w:rsid w:val="002817C0"/>
    <w:rsid w:val="00281CA8"/>
    <w:rsid w:val="00281CDF"/>
    <w:rsid w:val="00282063"/>
    <w:rsid w:val="002828BC"/>
    <w:rsid w:val="00282A7A"/>
    <w:rsid w:val="00282D1D"/>
    <w:rsid w:val="00283381"/>
    <w:rsid w:val="00283ADC"/>
    <w:rsid w:val="00283BE9"/>
    <w:rsid w:val="0028429A"/>
    <w:rsid w:val="0028493C"/>
    <w:rsid w:val="00284CD5"/>
    <w:rsid w:val="002853DF"/>
    <w:rsid w:val="0028617A"/>
    <w:rsid w:val="00287D39"/>
    <w:rsid w:val="00287EEF"/>
    <w:rsid w:val="002913E6"/>
    <w:rsid w:val="0029143F"/>
    <w:rsid w:val="00291B9E"/>
    <w:rsid w:val="0029289A"/>
    <w:rsid w:val="00292F82"/>
    <w:rsid w:val="002935F1"/>
    <w:rsid w:val="00293953"/>
    <w:rsid w:val="00293CCA"/>
    <w:rsid w:val="0029400A"/>
    <w:rsid w:val="0029406C"/>
    <w:rsid w:val="00294626"/>
    <w:rsid w:val="00294E6B"/>
    <w:rsid w:val="00295AAB"/>
    <w:rsid w:val="002965EE"/>
    <w:rsid w:val="0029665B"/>
    <w:rsid w:val="00296A7A"/>
    <w:rsid w:val="002A03DD"/>
    <w:rsid w:val="002A05D4"/>
    <w:rsid w:val="002A0E23"/>
    <w:rsid w:val="002A1533"/>
    <w:rsid w:val="002A2863"/>
    <w:rsid w:val="002A35C6"/>
    <w:rsid w:val="002A3610"/>
    <w:rsid w:val="002A40F2"/>
    <w:rsid w:val="002A51C7"/>
    <w:rsid w:val="002A5310"/>
    <w:rsid w:val="002A631B"/>
    <w:rsid w:val="002A6561"/>
    <w:rsid w:val="002A6D0D"/>
    <w:rsid w:val="002B0012"/>
    <w:rsid w:val="002B02F2"/>
    <w:rsid w:val="002B04A4"/>
    <w:rsid w:val="002B0AB9"/>
    <w:rsid w:val="002B0CAE"/>
    <w:rsid w:val="002B0DD6"/>
    <w:rsid w:val="002B1660"/>
    <w:rsid w:val="002B1ED2"/>
    <w:rsid w:val="002B449B"/>
    <w:rsid w:val="002B469D"/>
    <w:rsid w:val="002B4A9D"/>
    <w:rsid w:val="002B4E75"/>
    <w:rsid w:val="002B4F96"/>
    <w:rsid w:val="002B540E"/>
    <w:rsid w:val="002B54FF"/>
    <w:rsid w:val="002B56C1"/>
    <w:rsid w:val="002B5BAB"/>
    <w:rsid w:val="002B605F"/>
    <w:rsid w:val="002B71FE"/>
    <w:rsid w:val="002B7A14"/>
    <w:rsid w:val="002B7E82"/>
    <w:rsid w:val="002C0B9D"/>
    <w:rsid w:val="002C0CA7"/>
    <w:rsid w:val="002C0DF1"/>
    <w:rsid w:val="002C0E46"/>
    <w:rsid w:val="002C15CE"/>
    <w:rsid w:val="002C17EF"/>
    <w:rsid w:val="002C20F7"/>
    <w:rsid w:val="002C260C"/>
    <w:rsid w:val="002C262D"/>
    <w:rsid w:val="002C2695"/>
    <w:rsid w:val="002C3796"/>
    <w:rsid w:val="002C38B7"/>
    <w:rsid w:val="002C3E0B"/>
    <w:rsid w:val="002C5014"/>
    <w:rsid w:val="002C52F3"/>
    <w:rsid w:val="002C5312"/>
    <w:rsid w:val="002C5484"/>
    <w:rsid w:val="002C5887"/>
    <w:rsid w:val="002C5B83"/>
    <w:rsid w:val="002C5FB6"/>
    <w:rsid w:val="002C65F2"/>
    <w:rsid w:val="002C6663"/>
    <w:rsid w:val="002C69D9"/>
    <w:rsid w:val="002C6DE6"/>
    <w:rsid w:val="002C7B9D"/>
    <w:rsid w:val="002D05DC"/>
    <w:rsid w:val="002D063E"/>
    <w:rsid w:val="002D06C9"/>
    <w:rsid w:val="002D3380"/>
    <w:rsid w:val="002D4E32"/>
    <w:rsid w:val="002D695E"/>
    <w:rsid w:val="002D6C21"/>
    <w:rsid w:val="002D6E73"/>
    <w:rsid w:val="002D7020"/>
    <w:rsid w:val="002E0035"/>
    <w:rsid w:val="002E0F9B"/>
    <w:rsid w:val="002E2B54"/>
    <w:rsid w:val="002E2F68"/>
    <w:rsid w:val="002E3569"/>
    <w:rsid w:val="002E3FD6"/>
    <w:rsid w:val="002E4A3F"/>
    <w:rsid w:val="002E4FE1"/>
    <w:rsid w:val="002E5105"/>
    <w:rsid w:val="002E52D9"/>
    <w:rsid w:val="002E542E"/>
    <w:rsid w:val="002E6034"/>
    <w:rsid w:val="002E6475"/>
    <w:rsid w:val="002E6531"/>
    <w:rsid w:val="002E714A"/>
    <w:rsid w:val="002E7CD8"/>
    <w:rsid w:val="002F0A90"/>
    <w:rsid w:val="002F0CAE"/>
    <w:rsid w:val="002F1138"/>
    <w:rsid w:val="002F13AB"/>
    <w:rsid w:val="002F1AD5"/>
    <w:rsid w:val="002F23EE"/>
    <w:rsid w:val="002F25FA"/>
    <w:rsid w:val="002F2F12"/>
    <w:rsid w:val="002F3FF7"/>
    <w:rsid w:val="002F42F6"/>
    <w:rsid w:val="002F43B3"/>
    <w:rsid w:val="002F43BC"/>
    <w:rsid w:val="002F47CD"/>
    <w:rsid w:val="002F4903"/>
    <w:rsid w:val="002F4B83"/>
    <w:rsid w:val="002F4E14"/>
    <w:rsid w:val="002F5EEF"/>
    <w:rsid w:val="002F6F4E"/>
    <w:rsid w:val="002F7156"/>
    <w:rsid w:val="002F761F"/>
    <w:rsid w:val="002F7FC4"/>
    <w:rsid w:val="00300425"/>
    <w:rsid w:val="00300AEA"/>
    <w:rsid w:val="00300B0F"/>
    <w:rsid w:val="00303289"/>
    <w:rsid w:val="003039C0"/>
    <w:rsid w:val="00303DD9"/>
    <w:rsid w:val="00304485"/>
    <w:rsid w:val="00305FFF"/>
    <w:rsid w:val="00306545"/>
    <w:rsid w:val="00306CA2"/>
    <w:rsid w:val="00307715"/>
    <w:rsid w:val="003107A5"/>
    <w:rsid w:val="003118B5"/>
    <w:rsid w:val="00311993"/>
    <w:rsid w:val="003123BB"/>
    <w:rsid w:val="00312484"/>
    <w:rsid w:val="0031448E"/>
    <w:rsid w:val="003148F9"/>
    <w:rsid w:val="00314A6A"/>
    <w:rsid w:val="00314BA8"/>
    <w:rsid w:val="00315000"/>
    <w:rsid w:val="00315A2E"/>
    <w:rsid w:val="00315D03"/>
    <w:rsid w:val="00315DFD"/>
    <w:rsid w:val="003169DA"/>
    <w:rsid w:val="00316C7D"/>
    <w:rsid w:val="0031701E"/>
    <w:rsid w:val="00317916"/>
    <w:rsid w:val="0032023A"/>
    <w:rsid w:val="00320496"/>
    <w:rsid w:val="00320759"/>
    <w:rsid w:val="003215D3"/>
    <w:rsid w:val="00321692"/>
    <w:rsid w:val="00321BD0"/>
    <w:rsid w:val="0032202C"/>
    <w:rsid w:val="00322389"/>
    <w:rsid w:val="0032256C"/>
    <w:rsid w:val="003226EB"/>
    <w:rsid w:val="0032283C"/>
    <w:rsid w:val="00323706"/>
    <w:rsid w:val="00323A16"/>
    <w:rsid w:val="00324654"/>
    <w:rsid w:val="00324883"/>
    <w:rsid w:val="003256CD"/>
    <w:rsid w:val="00326100"/>
    <w:rsid w:val="00326E02"/>
    <w:rsid w:val="00327038"/>
    <w:rsid w:val="00327EF7"/>
    <w:rsid w:val="003306BB"/>
    <w:rsid w:val="0033092D"/>
    <w:rsid w:val="00331625"/>
    <w:rsid w:val="00331A73"/>
    <w:rsid w:val="0033394C"/>
    <w:rsid w:val="00333D27"/>
    <w:rsid w:val="00334B9A"/>
    <w:rsid w:val="00335019"/>
    <w:rsid w:val="0033554F"/>
    <w:rsid w:val="003368A4"/>
    <w:rsid w:val="00336D07"/>
    <w:rsid w:val="003375E8"/>
    <w:rsid w:val="00340C36"/>
    <w:rsid w:val="00341012"/>
    <w:rsid w:val="00341E44"/>
    <w:rsid w:val="00341E45"/>
    <w:rsid w:val="003424E3"/>
    <w:rsid w:val="003427A7"/>
    <w:rsid w:val="00342B89"/>
    <w:rsid w:val="00343438"/>
    <w:rsid w:val="00343535"/>
    <w:rsid w:val="00343C5C"/>
    <w:rsid w:val="003446C2"/>
    <w:rsid w:val="00344C3C"/>
    <w:rsid w:val="00345414"/>
    <w:rsid w:val="0034560F"/>
    <w:rsid w:val="00345909"/>
    <w:rsid w:val="00345BC3"/>
    <w:rsid w:val="003463D2"/>
    <w:rsid w:val="00346A7F"/>
    <w:rsid w:val="00346C34"/>
    <w:rsid w:val="0035057F"/>
    <w:rsid w:val="00350857"/>
    <w:rsid w:val="00350877"/>
    <w:rsid w:val="003512C7"/>
    <w:rsid w:val="003516D0"/>
    <w:rsid w:val="003537B3"/>
    <w:rsid w:val="003537C1"/>
    <w:rsid w:val="00355870"/>
    <w:rsid w:val="00356185"/>
    <w:rsid w:val="0035741D"/>
    <w:rsid w:val="003579F9"/>
    <w:rsid w:val="00357D12"/>
    <w:rsid w:val="00360E7E"/>
    <w:rsid w:val="003613A3"/>
    <w:rsid w:val="0036163A"/>
    <w:rsid w:val="00361EFD"/>
    <w:rsid w:val="003622B4"/>
    <w:rsid w:val="003629AC"/>
    <w:rsid w:val="00362AD4"/>
    <w:rsid w:val="00363A1E"/>
    <w:rsid w:val="00364EFD"/>
    <w:rsid w:val="0036512B"/>
    <w:rsid w:val="00365643"/>
    <w:rsid w:val="0036572C"/>
    <w:rsid w:val="00365966"/>
    <w:rsid w:val="00365B7A"/>
    <w:rsid w:val="00365FF3"/>
    <w:rsid w:val="003661CC"/>
    <w:rsid w:val="00366225"/>
    <w:rsid w:val="003668E8"/>
    <w:rsid w:val="00367758"/>
    <w:rsid w:val="003706F2"/>
    <w:rsid w:val="0037187B"/>
    <w:rsid w:val="00371D4B"/>
    <w:rsid w:val="00372032"/>
    <w:rsid w:val="00372E4E"/>
    <w:rsid w:val="00374190"/>
    <w:rsid w:val="0037457D"/>
    <w:rsid w:val="00375D4D"/>
    <w:rsid w:val="003764CF"/>
    <w:rsid w:val="0037704C"/>
    <w:rsid w:val="00381561"/>
    <w:rsid w:val="003818C7"/>
    <w:rsid w:val="00381DC0"/>
    <w:rsid w:val="00382271"/>
    <w:rsid w:val="00382349"/>
    <w:rsid w:val="00383439"/>
    <w:rsid w:val="00383923"/>
    <w:rsid w:val="00383FAF"/>
    <w:rsid w:val="0038402A"/>
    <w:rsid w:val="00384A36"/>
    <w:rsid w:val="00384B29"/>
    <w:rsid w:val="00385089"/>
    <w:rsid w:val="00385493"/>
    <w:rsid w:val="0038571A"/>
    <w:rsid w:val="00385D96"/>
    <w:rsid w:val="0038634B"/>
    <w:rsid w:val="00386FCD"/>
    <w:rsid w:val="00387544"/>
    <w:rsid w:val="00387994"/>
    <w:rsid w:val="00387A11"/>
    <w:rsid w:val="00387B1B"/>
    <w:rsid w:val="003904A3"/>
    <w:rsid w:val="0039073C"/>
    <w:rsid w:val="003909B4"/>
    <w:rsid w:val="00390AFD"/>
    <w:rsid w:val="00390DC1"/>
    <w:rsid w:val="003915C6"/>
    <w:rsid w:val="003925DD"/>
    <w:rsid w:val="003925EF"/>
    <w:rsid w:val="00393949"/>
    <w:rsid w:val="003942FF"/>
    <w:rsid w:val="00394586"/>
    <w:rsid w:val="003949DA"/>
    <w:rsid w:val="0039528E"/>
    <w:rsid w:val="00396422"/>
    <w:rsid w:val="00396D07"/>
    <w:rsid w:val="00396DC0"/>
    <w:rsid w:val="00397927"/>
    <w:rsid w:val="00397E1F"/>
    <w:rsid w:val="003A0385"/>
    <w:rsid w:val="003A1029"/>
    <w:rsid w:val="003A205B"/>
    <w:rsid w:val="003A24D9"/>
    <w:rsid w:val="003A38DD"/>
    <w:rsid w:val="003A3D71"/>
    <w:rsid w:val="003A4162"/>
    <w:rsid w:val="003A422B"/>
    <w:rsid w:val="003A467A"/>
    <w:rsid w:val="003A5223"/>
    <w:rsid w:val="003A69A0"/>
    <w:rsid w:val="003A7231"/>
    <w:rsid w:val="003A73B7"/>
    <w:rsid w:val="003A7587"/>
    <w:rsid w:val="003A7A85"/>
    <w:rsid w:val="003A7C5D"/>
    <w:rsid w:val="003A7C85"/>
    <w:rsid w:val="003B08CD"/>
    <w:rsid w:val="003B0BE9"/>
    <w:rsid w:val="003B0D96"/>
    <w:rsid w:val="003B1232"/>
    <w:rsid w:val="003B1EED"/>
    <w:rsid w:val="003B31C7"/>
    <w:rsid w:val="003B33CB"/>
    <w:rsid w:val="003B3B6A"/>
    <w:rsid w:val="003B3DD7"/>
    <w:rsid w:val="003B49F4"/>
    <w:rsid w:val="003B4E55"/>
    <w:rsid w:val="003B51CB"/>
    <w:rsid w:val="003B5400"/>
    <w:rsid w:val="003B658F"/>
    <w:rsid w:val="003B683A"/>
    <w:rsid w:val="003B68CE"/>
    <w:rsid w:val="003B6F08"/>
    <w:rsid w:val="003B7E21"/>
    <w:rsid w:val="003C00A4"/>
    <w:rsid w:val="003C0B72"/>
    <w:rsid w:val="003C142E"/>
    <w:rsid w:val="003C166E"/>
    <w:rsid w:val="003C1796"/>
    <w:rsid w:val="003C25B1"/>
    <w:rsid w:val="003C2E03"/>
    <w:rsid w:val="003C2EC2"/>
    <w:rsid w:val="003C317C"/>
    <w:rsid w:val="003C423B"/>
    <w:rsid w:val="003C4E6A"/>
    <w:rsid w:val="003C4EC7"/>
    <w:rsid w:val="003C51AD"/>
    <w:rsid w:val="003C520D"/>
    <w:rsid w:val="003C5AD0"/>
    <w:rsid w:val="003C63FD"/>
    <w:rsid w:val="003C6462"/>
    <w:rsid w:val="003C7B6A"/>
    <w:rsid w:val="003C7CF7"/>
    <w:rsid w:val="003C7E8F"/>
    <w:rsid w:val="003D0489"/>
    <w:rsid w:val="003D08B0"/>
    <w:rsid w:val="003D1FAD"/>
    <w:rsid w:val="003D1FB5"/>
    <w:rsid w:val="003D1FBE"/>
    <w:rsid w:val="003D2129"/>
    <w:rsid w:val="003D2714"/>
    <w:rsid w:val="003D2B45"/>
    <w:rsid w:val="003D2F60"/>
    <w:rsid w:val="003D35D4"/>
    <w:rsid w:val="003D3C2A"/>
    <w:rsid w:val="003D3DF4"/>
    <w:rsid w:val="003D410D"/>
    <w:rsid w:val="003D4148"/>
    <w:rsid w:val="003D57DB"/>
    <w:rsid w:val="003D6896"/>
    <w:rsid w:val="003D6C70"/>
    <w:rsid w:val="003D76E9"/>
    <w:rsid w:val="003D7AF2"/>
    <w:rsid w:val="003E1203"/>
    <w:rsid w:val="003E17A9"/>
    <w:rsid w:val="003E1D6E"/>
    <w:rsid w:val="003E2E1C"/>
    <w:rsid w:val="003E2FF6"/>
    <w:rsid w:val="003E3A47"/>
    <w:rsid w:val="003E3AEF"/>
    <w:rsid w:val="003E3CD8"/>
    <w:rsid w:val="003E525A"/>
    <w:rsid w:val="003E5E1D"/>
    <w:rsid w:val="003E64F3"/>
    <w:rsid w:val="003E6A21"/>
    <w:rsid w:val="003E6C98"/>
    <w:rsid w:val="003E7C93"/>
    <w:rsid w:val="003F0234"/>
    <w:rsid w:val="003F0368"/>
    <w:rsid w:val="003F0599"/>
    <w:rsid w:val="003F0A2F"/>
    <w:rsid w:val="003F0E39"/>
    <w:rsid w:val="003F11A8"/>
    <w:rsid w:val="003F1379"/>
    <w:rsid w:val="003F201B"/>
    <w:rsid w:val="003F2451"/>
    <w:rsid w:val="003F3B88"/>
    <w:rsid w:val="003F423C"/>
    <w:rsid w:val="003F42FB"/>
    <w:rsid w:val="003F48CF"/>
    <w:rsid w:val="003F52D8"/>
    <w:rsid w:val="003F69C0"/>
    <w:rsid w:val="003F7304"/>
    <w:rsid w:val="003F7733"/>
    <w:rsid w:val="00400E19"/>
    <w:rsid w:val="00401272"/>
    <w:rsid w:val="00401D0B"/>
    <w:rsid w:val="00401ED3"/>
    <w:rsid w:val="00402074"/>
    <w:rsid w:val="0040231B"/>
    <w:rsid w:val="004027C1"/>
    <w:rsid w:val="00402ECD"/>
    <w:rsid w:val="004043C4"/>
    <w:rsid w:val="00404C13"/>
    <w:rsid w:val="00406AB3"/>
    <w:rsid w:val="00407A7F"/>
    <w:rsid w:val="00407A97"/>
    <w:rsid w:val="00407FF3"/>
    <w:rsid w:val="004109EB"/>
    <w:rsid w:val="0041137F"/>
    <w:rsid w:val="0041141D"/>
    <w:rsid w:val="00412572"/>
    <w:rsid w:val="00412F10"/>
    <w:rsid w:val="00412F5C"/>
    <w:rsid w:val="00413167"/>
    <w:rsid w:val="0041317E"/>
    <w:rsid w:val="00414681"/>
    <w:rsid w:val="00414F25"/>
    <w:rsid w:val="004158CA"/>
    <w:rsid w:val="00415F60"/>
    <w:rsid w:val="00416D5A"/>
    <w:rsid w:val="00417D7A"/>
    <w:rsid w:val="00417E02"/>
    <w:rsid w:val="00420979"/>
    <w:rsid w:val="00420DBB"/>
    <w:rsid w:val="004216F6"/>
    <w:rsid w:val="00421BCC"/>
    <w:rsid w:val="00422139"/>
    <w:rsid w:val="00422547"/>
    <w:rsid w:val="004225B5"/>
    <w:rsid w:val="00422B01"/>
    <w:rsid w:val="00422E37"/>
    <w:rsid w:val="00422E38"/>
    <w:rsid w:val="004232B5"/>
    <w:rsid w:val="00423BD3"/>
    <w:rsid w:val="00424082"/>
    <w:rsid w:val="00424FD9"/>
    <w:rsid w:val="004256CD"/>
    <w:rsid w:val="00425FCA"/>
    <w:rsid w:val="004260D8"/>
    <w:rsid w:val="004260E9"/>
    <w:rsid w:val="00426424"/>
    <w:rsid w:val="0043065F"/>
    <w:rsid w:val="00431235"/>
    <w:rsid w:val="004318E4"/>
    <w:rsid w:val="00431A7F"/>
    <w:rsid w:val="00431A82"/>
    <w:rsid w:val="0043240B"/>
    <w:rsid w:val="004334EB"/>
    <w:rsid w:val="00433B8B"/>
    <w:rsid w:val="004350F8"/>
    <w:rsid w:val="0043511B"/>
    <w:rsid w:val="0043523D"/>
    <w:rsid w:val="00435641"/>
    <w:rsid w:val="004369CA"/>
    <w:rsid w:val="00436ACA"/>
    <w:rsid w:val="00436EA2"/>
    <w:rsid w:val="004379B0"/>
    <w:rsid w:val="004401A1"/>
    <w:rsid w:val="004401E3"/>
    <w:rsid w:val="0044127D"/>
    <w:rsid w:val="00442D88"/>
    <w:rsid w:val="004435E2"/>
    <w:rsid w:val="00443971"/>
    <w:rsid w:val="00443C63"/>
    <w:rsid w:val="00444261"/>
    <w:rsid w:val="00444C31"/>
    <w:rsid w:val="00445EFE"/>
    <w:rsid w:val="00446905"/>
    <w:rsid w:val="00450907"/>
    <w:rsid w:val="00451BBF"/>
    <w:rsid w:val="00451CDC"/>
    <w:rsid w:val="00452230"/>
    <w:rsid w:val="00452829"/>
    <w:rsid w:val="004528CC"/>
    <w:rsid w:val="0045384E"/>
    <w:rsid w:val="00453B59"/>
    <w:rsid w:val="00454451"/>
    <w:rsid w:val="0045475F"/>
    <w:rsid w:val="00455637"/>
    <w:rsid w:val="00456A9E"/>
    <w:rsid w:val="004575DF"/>
    <w:rsid w:val="004578AA"/>
    <w:rsid w:val="00460039"/>
    <w:rsid w:val="00460233"/>
    <w:rsid w:val="00460D51"/>
    <w:rsid w:val="00460FC4"/>
    <w:rsid w:val="0046130C"/>
    <w:rsid w:val="004615E6"/>
    <w:rsid w:val="00461B0F"/>
    <w:rsid w:val="0046215E"/>
    <w:rsid w:val="004624A1"/>
    <w:rsid w:val="00462E07"/>
    <w:rsid w:val="0046329B"/>
    <w:rsid w:val="004637B7"/>
    <w:rsid w:val="004641E0"/>
    <w:rsid w:val="004652A0"/>
    <w:rsid w:val="00465AC7"/>
    <w:rsid w:val="00465CEB"/>
    <w:rsid w:val="00466105"/>
    <w:rsid w:val="004665FB"/>
    <w:rsid w:val="004666E5"/>
    <w:rsid w:val="00467381"/>
    <w:rsid w:val="0046782F"/>
    <w:rsid w:val="00470FE0"/>
    <w:rsid w:val="00471197"/>
    <w:rsid w:val="004717A7"/>
    <w:rsid w:val="00471E29"/>
    <w:rsid w:val="00472578"/>
    <w:rsid w:val="00472832"/>
    <w:rsid w:val="00472C18"/>
    <w:rsid w:val="00473486"/>
    <w:rsid w:val="0047375F"/>
    <w:rsid w:val="00473E60"/>
    <w:rsid w:val="00474157"/>
    <w:rsid w:val="004750DF"/>
    <w:rsid w:val="00475D8B"/>
    <w:rsid w:val="00475E0B"/>
    <w:rsid w:val="00475E21"/>
    <w:rsid w:val="0047605C"/>
    <w:rsid w:val="00476886"/>
    <w:rsid w:val="00476B81"/>
    <w:rsid w:val="00476D49"/>
    <w:rsid w:val="00476E24"/>
    <w:rsid w:val="00476F73"/>
    <w:rsid w:val="00477105"/>
    <w:rsid w:val="004804B4"/>
    <w:rsid w:val="00480881"/>
    <w:rsid w:val="00481470"/>
    <w:rsid w:val="00481B27"/>
    <w:rsid w:val="00482365"/>
    <w:rsid w:val="004828D4"/>
    <w:rsid w:val="00482AD3"/>
    <w:rsid w:val="00482B3B"/>
    <w:rsid w:val="00482EC7"/>
    <w:rsid w:val="00483931"/>
    <w:rsid w:val="004843B9"/>
    <w:rsid w:val="004859B9"/>
    <w:rsid w:val="00485AC8"/>
    <w:rsid w:val="00485B7D"/>
    <w:rsid w:val="00485BF0"/>
    <w:rsid w:val="00486111"/>
    <w:rsid w:val="004865FE"/>
    <w:rsid w:val="0048672F"/>
    <w:rsid w:val="00486FCE"/>
    <w:rsid w:val="004870F4"/>
    <w:rsid w:val="0048717A"/>
    <w:rsid w:val="00490064"/>
    <w:rsid w:val="004910E1"/>
    <w:rsid w:val="00491252"/>
    <w:rsid w:val="00491329"/>
    <w:rsid w:val="00491510"/>
    <w:rsid w:val="00492214"/>
    <w:rsid w:val="00492FA1"/>
    <w:rsid w:val="00493616"/>
    <w:rsid w:val="00493DF1"/>
    <w:rsid w:val="004942F5"/>
    <w:rsid w:val="00494909"/>
    <w:rsid w:val="00496009"/>
    <w:rsid w:val="00496027"/>
    <w:rsid w:val="00497A21"/>
    <w:rsid w:val="00497A8E"/>
    <w:rsid w:val="00497E82"/>
    <w:rsid w:val="004A0152"/>
    <w:rsid w:val="004A042E"/>
    <w:rsid w:val="004A058E"/>
    <w:rsid w:val="004A14D7"/>
    <w:rsid w:val="004A1B43"/>
    <w:rsid w:val="004A1D4B"/>
    <w:rsid w:val="004A1EC0"/>
    <w:rsid w:val="004A2106"/>
    <w:rsid w:val="004A24D1"/>
    <w:rsid w:val="004A3A8C"/>
    <w:rsid w:val="004A3C10"/>
    <w:rsid w:val="004A4278"/>
    <w:rsid w:val="004A4F00"/>
    <w:rsid w:val="004A5080"/>
    <w:rsid w:val="004A510C"/>
    <w:rsid w:val="004A5697"/>
    <w:rsid w:val="004A58B6"/>
    <w:rsid w:val="004A59A7"/>
    <w:rsid w:val="004A5ADE"/>
    <w:rsid w:val="004A66BB"/>
    <w:rsid w:val="004A671B"/>
    <w:rsid w:val="004A7261"/>
    <w:rsid w:val="004A73B0"/>
    <w:rsid w:val="004A764E"/>
    <w:rsid w:val="004A7671"/>
    <w:rsid w:val="004B02D0"/>
    <w:rsid w:val="004B07E1"/>
    <w:rsid w:val="004B0BD2"/>
    <w:rsid w:val="004B0BD8"/>
    <w:rsid w:val="004B0E40"/>
    <w:rsid w:val="004B29FA"/>
    <w:rsid w:val="004B2AAA"/>
    <w:rsid w:val="004B3574"/>
    <w:rsid w:val="004B3B28"/>
    <w:rsid w:val="004B4D12"/>
    <w:rsid w:val="004B4EA2"/>
    <w:rsid w:val="004B50DC"/>
    <w:rsid w:val="004B54AF"/>
    <w:rsid w:val="004B5909"/>
    <w:rsid w:val="004B5BE3"/>
    <w:rsid w:val="004B6460"/>
    <w:rsid w:val="004B6860"/>
    <w:rsid w:val="004B6B2A"/>
    <w:rsid w:val="004B6BCB"/>
    <w:rsid w:val="004B6F02"/>
    <w:rsid w:val="004B7250"/>
    <w:rsid w:val="004B76CB"/>
    <w:rsid w:val="004B7872"/>
    <w:rsid w:val="004B7C40"/>
    <w:rsid w:val="004C05A3"/>
    <w:rsid w:val="004C096B"/>
    <w:rsid w:val="004C0D50"/>
    <w:rsid w:val="004C0F25"/>
    <w:rsid w:val="004C1E9E"/>
    <w:rsid w:val="004C3BD3"/>
    <w:rsid w:val="004C405D"/>
    <w:rsid w:val="004C41F0"/>
    <w:rsid w:val="004C49D5"/>
    <w:rsid w:val="004C4D1F"/>
    <w:rsid w:val="004C4FCC"/>
    <w:rsid w:val="004C56B3"/>
    <w:rsid w:val="004C5AC0"/>
    <w:rsid w:val="004C5CF3"/>
    <w:rsid w:val="004C6112"/>
    <w:rsid w:val="004C71AD"/>
    <w:rsid w:val="004D06EE"/>
    <w:rsid w:val="004D0BC5"/>
    <w:rsid w:val="004D1181"/>
    <w:rsid w:val="004D1B24"/>
    <w:rsid w:val="004D2D91"/>
    <w:rsid w:val="004D2FCB"/>
    <w:rsid w:val="004D357C"/>
    <w:rsid w:val="004D41CB"/>
    <w:rsid w:val="004D4DD4"/>
    <w:rsid w:val="004D517A"/>
    <w:rsid w:val="004D56B9"/>
    <w:rsid w:val="004D5F2D"/>
    <w:rsid w:val="004D6273"/>
    <w:rsid w:val="004D6559"/>
    <w:rsid w:val="004D6B76"/>
    <w:rsid w:val="004D6C8D"/>
    <w:rsid w:val="004D75E6"/>
    <w:rsid w:val="004D7AF4"/>
    <w:rsid w:val="004D7EF9"/>
    <w:rsid w:val="004E0B64"/>
    <w:rsid w:val="004E0B7D"/>
    <w:rsid w:val="004E0CB7"/>
    <w:rsid w:val="004E1EAF"/>
    <w:rsid w:val="004E2384"/>
    <w:rsid w:val="004E32CB"/>
    <w:rsid w:val="004E3C04"/>
    <w:rsid w:val="004E3D26"/>
    <w:rsid w:val="004E3E0C"/>
    <w:rsid w:val="004E4579"/>
    <w:rsid w:val="004E490B"/>
    <w:rsid w:val="004E511A"/>
    <w:rsid w:val="004E534B"/>
    <w:rsid w:val="004E585C"/>
    <w:rsid w:val="004E5A0D"/>
    <w:rsid w:val="004E68CF"/>
    <w:rsid w:val="004E6AD7"/>
    <w:rsid w:val="004E7118"/>
    <w:rsid w:val="004E7161"/>
    <w:rsid w:val="004E7ADE"/>
    <w:rsid w:val="004F0670"/>
    <w:rsid w:val="004F07CB"/>
    <w:rsid w:val="004F0CCB"/>
    <w:rsid w:val="004F20DC"/>
    <w:rsid w:val="004F2F6C"/>
    <w:rsid w:val="004F45FE"/>
    <w:rsid w:val="004F47B5"/>
    <w:rsid w:val="004F4928"/>
    <w:rsid w:val="004F4F9D"/>
    <w:rsid w:val="004F6C81"/>
    <w:rsid w:val="004F6DEB"/>
    <w:rsid w:val="004F72F1"/>
    <w:rsid w:val="004F73F1"/>
    <w:rsid w:val="004F7C4E"/>
    <w:rsid w:val="005005C7"/>
    <w:rsid w:val="0050060B"/>
    <w:rsid w:val="00500909"/>
    <w:rsid w:val="0050134F"/>
    <w:rsid w:val="00501B0F"/>
    <w:rsid w:val="00502CFD"/>
    <w:rsid w:val="0050348F"/>
    <w:rsid w:val="0050405E"/>
    <w:rsid w:val="00504261"/>
    <w:rsid w:val="00504E76"/>
    <w:rsid w:val="00505A35"/>
    <w:rsid w:val="00506A36"/>
    <w:rsid w:val="005079B5"/>
    <w:rsid w:val="005100F5"/>
    <w:rsid w:val="00510D47"/>
    <w:rsid w:val="00511570"/>
    <w:rsid w:val="005115CD"/>
    <w:rsid w:val="00511B68"/>
    <w:rsid w:val="005123B6"/>
    <w:rsid w:val="00512461"/>
    <w:rsid w:val="005124C6"/>
    <w:rsid w:val="0051283C"/>
    <w:rsid w:val="0051286A"/>
    <w:rsid w:val="005130B8"/>
    <w:rsid w:val="00513F4D"/>
    <w:rsid w:val="0051406E"/>
    <w:rsid w:val="00514514"/>
    <w:rsid w:val="005146B3"/>
    <w:rsid w:val="00514F69"/>
    <w:rsid w:val="005153BB"/>
    <w:rsid w:val="00515C7D"/>
    <w:rsid w:val="00516120"/>
    <w:rsid w:val="005166A1"/>
    <w:rsid w:val="00516B8C"/>
    <w:rsid w:val="00516DEC"/>
    <w:rsid w:val="00517310"/>
    <w:rsid w:val="005178E1"/>
    <w:rsid w:val="005200E1"/>
    <w:rsid w:val="00520333"/>
    <w:rsid w:val="00520355"/>
    <w:rsid w:val="00520733"/>
    <w:rsid w:val="00521876"/>
    <w:rsid w:val="00522B9F"/>
    <w:rsid w:val="0052376E"/>
    <w:rsid w:val="00523AD4"/>
    <w:rsid w:val="00524B17"/>
    <w:rsid w:val="00524C85"/>
    <w:rsid w:val="00525261"/>
    <w:rsid w:val="005303BE"/>
    <w:rsid w:val="00530A80"/>
    <w:rsid w:val="00530CEA"/>
    <w:rsid w:val="00530D4F"/>
    <w:rsid w:val="00531523"/>
    <w:rsid w:val="005317C0"/>
    <w:rsid w:val="00531BEC"/>
    <w:rsid w:val="00531C1D"/>
    <w:rsid w:val="005327AB"/>
    <w:rsid w:val="0053411A"/>
    <w:rsid w:val="005344D9"/>
    <w:rsid w:val="00535C27"/>
    <w:rsid w:val="00536EF8"/>
    <w:rsid w:val="005372D7"/>
    <w:rsid w:val="0053769A"/>
    <w:rsid w:val="00537715"/>
    <w:rsid w:val="00537A97"/>
    <w:rsid w:val="00541A5F"/>
    <w:rsid w:val="00541F87"/>
    <w:rsid w:val="005423E8"/>
    <w:rsid w:val="00542E6F"/>
    <w:rsid w:val="005434DA"/>
    <w:rsid w:val="005438C5"/>
    <w:rsid w:val="005441AF"/>
    <w:rsid w:val="00544439"/>
    <w:rsid w:val="005458FF"/>
    <w:rsid w:val="005468B8"/>
    <w:rsid w:val="005500EB"/>
    <w:rsid w:val="005506E9"/>
    <w:rsid w:val="00550CAC"/>
    <w:rsid w:val="00550E04"/>
    <w:rsid w:val="0055137B"/>
    <w:rsid w:val="005515EC"/>
    <w:rsid w:val="00551CB2"/>
    <w:rsid w:val="00552636"/>
    <w:rsid w:val="00553401"/>
    <w:rsid w:val="005535B0"/>
    <w:rsid w:val="00553BBC"/>
    <w:rsid w:val="00554663"/>
    <w:rsid w:val="00554826"/>
    <w:rsid w:val="005563A1"/>
    <w:rsid w:val="00556784"/>
    <w:rsid w:val="005572A7"/>
    <w:rsid w:val="005578B9"/>
    <w:rsid w:val="005579BF"/>
    <w:rsid w:val="00557F34"/>
    <w:rsid w:val="005609F3"/>
    <w:rsid w:val="00561084"/>
    <w:rsid w:val="0056173F"/>
    <w:rsid w:val="00561842"/>
    <w:rsid w:val="00561F85"/>
    <w:rsid w:val="005622CC"/>
    <w:rsid w:val="00562421"/>
    <w:rsid w:val="00562515"/>
    <w:rsid w:val="00562F73"/>
    <w:rsid w:val="00563193"/>
    <w:rsid w:val="00563CA4"/>
    <w:rsid w:val="00564618"/>
    <w:rsid w:val="00564D32"/>
    <w:rsid w:val="00565353"/>
    <w:rsid w:val="00565AD8"/>
    <w:rsid w:val="00565B98"/>
    <w:rsid w:val="0056636E"/>
    <w:rsid w:val="0056688A"/>
    <w:rsid w:val="00567464"/>
    <w:rsid w:val="00567A6F"/>
    <w:rsid w:val="00567B3D"/>
    <w:rsid w:val="00570770"/>
    <w:rsid w:val="005708B2"/>
    <w:rsid w:val="00570AE1"/>
    <w:rsid w:val="00570EE0"/>
    <w:rsid w:val="00571552"/>
    <w:rsid w:val="00571A9B"/>
    <w:rsid w:val="00572BA1"/>
    <w:rsid w:val="005742BD"/>
    <w:rsid w:val="0057494A"/>
    <w:rsid w:val="00574A63"/>
    <w:rsid w:val="00574D9E"/>
    <w:rsid w:val="00575BE8"/>
    <w:rsid w:val="00575C49"/>
    <w:rsid w:val="005765DC"/>
    <w:rsid w:val="005770E4"/>
    <w:rsid w:val="0057740E"/>
    <w:rsid w:val="00577B70"/>
    <w:rsid w:val="00577E73"/>
    <w:rsid w:val="00580760"/>
    <w:rsid w:val="005807C2"/>
    <w:rsid w:val="005809E0"/>
    <w:rsid w:val="00581423"/>
    <w:rsid w:val="00581490"/>
    <w:rsid w:val="00581B3D"/>
    <w:rsid w:val="00581DA8"/>
    <w:rsid w:val="00582B01"/>
    <w:rsid w:val="00582FC5"/>
    <w:rsid w:val="005839A8"/>
    <w:rsid w:val="005839C9"/>
    <w:rsid w:val="00584398"/>
    <w:rsid w:val="00584CD5"/>
    <w:rsid w:val="00585054"/>
    <w:rsid w:val="00585107"/>
    <w:rsid w:val="005854BE"/>
    <w:rsid w:val="00585D76"/>
    <w:rsid w:val="00586159"/>
    <w:rsid w:val="005862E3"/>
    <w:rsid w:val="00586C5C"/>
    <w:rsid w:val="0058713A"/>
    <w:rsid w:val="0058796E"/>
    <w:rsid w:val="0059071E"/>
    <w:rsid w:val="005909E4"/>
    <w:rsid w:val="005915A2"/>
    <w:rsid w:val="00591D1A"/>
    <w:rsid w:val="00592EF3"/>
    <w:rsid w:val="00593051"/>
    <w:rsid w:val="00593DDE"/>
    <w:rsid w:val="00593FBB"/>
    <w:rsid w:val="005943B1"/>
    <w:rsid w:val="00594920"/>
    <w:rsid w:val="00595AB5"/>
    <w:rsid w:val="00595DA2"/>
    <w:rsid w:val="00595E0E"/>
    <w:rsid w:val="00595F80"/>
    <w:rsid w:val="00596158"/>
    <w:rsid w:val="005964EE"/>
    <w:rsid w:val="005968CF"/>
    <w:rsid w:val="0059723B"/>
    <w:rsid w:val="00597406"/>
    <w:rsid w:val="00597549"/>
    <w:rsid w:val="005A0785"/>
    <w:rsid w:val="005A08C8"/>
    <w:rsid w:val="005A08F4"/>
    <w:rsid w:val="005A1C28"/>
    <w:rsid w:val="005A2024"/>
    <w:rsid w:val="005A2BB8"/>
    <w:rsid w:val="005A375B"/>
    <w:rsid w:val="005A5F2C"/>
    <w:rsid w:val="005A63B4"/>
    <w:rsid w:val="005A6888"/>
    <w:rsid w:val="005A76C4"/>
    <w:rsid w:val="005A7C36"/>
    <w:rsid w:val="005B01C9"/>
    <w:rsid w:val="005B0C07"/>
    <w:rsid w:val="005B10FE"/>
    <w:rsid w:val="005B21A8"/>
    <w:rsid w:val="005B2645"/>
    <w:rsid w:val="005B2DC3"/>
    <w:rsid w:val="005B37DA"/>
    <w:rsid w:val="005B3A38"/>
    <w:rsid w:val="005B3C21"/>
    <w:rsid w:val="005B3E57"/>
    <w:rsid w:val="005B49CB"/>
    <w:rsid w:val="005B4E34"/>
    <w:rsid w:val="005B6579"/>
    <w:rsid w:val="005B68F1"/>
    <w:rsid w:val="005B6CBD"/>
    <w:rsid w:val="005B6EEB"/>
    <w:rsid w:val="005B776C"/>
    <w:rsid w:val="005C07F3"/>
    <w:rsid w:val="005C0A64"/>
    <w:rsid w:val="005C0FB4"/>
    <w:rsid w:val="005C1388"/>
    <w:rsid w:val="005C1ACE"/>
    <w:rsid w:val="005C2477"/>
    <w:rsid w:val="005C2C30"/>
    <w:rsid w:val="005C2D43"/>
    <w:rsid w:val="005C348C"/>
    <w:rsid w:val="005C46C4"/>
    <w:rsid w:val="005C4D29"/>
    <w:rsid w:val="005C4E87"/>
    <w:rsid w:val="005C5520"/>
    <w:rsid w:val="005C7BAD"/>
    <w:rsid w:val="005C7DBD"/>
    <w:rsid w:val="005D04DD"/>
    <w:rsid w:val="005D0EFA"/>
    <w:rsid w:val="005D1291"/>
    <w:rsid w:val="005D205C"/>
    <w:rsid w:val="005D2425"/>
    <w:rsid w:val="005D25DC"/>
    <w:rsid w:val="005D2F7F"/>
    <w:rsid w:val="005D34CF"/>
    <w:rsid w:val="005D3C3A"/>
    <w:rsid w:val="005D41A4"/>
    <w:rsid w:val="005D4957"/>
    <w:rsid w:val="005D4F71"/>
    <w:rsid w:val="005D5126"/>
    <w:rsid w:val="005D5216"/>
    <w:rsid w:val="005D68BF"/>
    <w:rsid w:val="005D7F0B"/>
    <w:rsid w:val="005E0003"/>
    <w:rsid w:val="005E016E"/>
    <w:rsid w:val="005E14A3"/>
    <w:rsid w:val="005E14E5"/>
    <w:rsid w:val="005E1C04"/>
    <w:rsid w:val="005E207F"/>
    <w:rsid w:val="005E21A4"/>
    <w:rsid w:val="005E2C94"/>
    <w:rsid w:val="005E2E96"/>
    <w:rsid w:val="005E2F77"/>
    <w:rsid w:val="005E38FE"/>
    <w:rsid w:val="005E47EB"/>
    <w:rsid w:val="005E4850"/>
    <w:rsid w:val="005E4BEF"/>
    <w:rsid w:val="005E5FD5"/>
    <w:rsid w:val="005E6181"/>
    <w:rsid w:val="005E7BF8"/>
    <w:rsid w:val="005F058F"/>
    <w:rsid w:val="005F248A"/>
    <w:rsid w:val="005F27A9"/>
    <w:rsid w:val="005F30DB"/>
    <w:rsid w:val="005F39FD"/>
    <w:rsid w:val="005F3E66"/>
    <w:rsid w:val="005F467D"/>
    <w:rsid w:val="005F5D51"/>
    <w:rsid w:val="005F5D70"/>
    <w:rsid w:val="00600193"/>
    <w:rsid w:val="00600292"/>
    <w:rsid w:val="00600EB8"/>
    <w:rsid w:val="006018AA"/>
    <w:rsid w:val="00601DBC"/>
    <w:rsid w:val="00602631"/>
    <w:rsid w:val="00603569"/>
    <w:rsid w:val="006041A9"/>
    <w:rsid w:val="006047A3"/>
    <w:rsid w:val="0060499B"/>
    <w:rsid w:val="00604A82"/>
    <w:rsid w:val="0060570D"/>
    <w:rsid w:val="00606041"/>
    <w:rsid w:val="00606DD4"/>
    <w:rsid w:val="00607B1E"/>
    <w:rsid w:val="00607B4D"/>
    <w:rsid w:val="00610421"/>
    <w:rsid w:val="00610E7A"/>
    <w:rsid w:val="00611123"/>
    <w:rsid w:val="0061189F"/>
    <w:rsid w:val="00611BE9"/>
    <w:rsid w:val="00612149"/>
    <w:rsid w:val="0061283D"/>
    <w:rsid w:val="00613113"/>
    <w:rsid w:val="00613830"/>
    <w:rsid w:val="00613B7C"/>
    <w:rsid w:val="00613F98"/>
    <w:rsid w:val="006148BF"/>
    <w:rsid w:val="00614DBA"/>
    <w:rsid w:val="00614E11"/>
    <w:rsid w:val="00614FB1"/>
    <w:rsid w:val="0061524A"/>
    <w:rsid w:val="0061529B"/>
    <w:rsid w:val="0061534E"/>
    <w:rsid w:val="006161E5"/>
    <w:rsid w:val="00616C4D"/>
    <w:rsid w:val="006178CC"/>
    <w:rsid w:val="00617BDB"/>
    <w:rsid w:val="0062178D"/>
    <w:rsid w:val="006226A9"/>
    <w:rsid w:val="00623A46"/>
    <w:rsid w:val="00624C18"/>
    <w:rsid w:val="006250B1"/>
    <w:rsid w:val="006253EE"/>
    <w:rsid w:val="00626386"/>
    <w:rsid w:val="00627F92"/>
    <w:rsid w:val="0063116B"/>
    <w:rsid w:val="006314C6"/>
    <w:rsid w:val="00631953"/>
    <w:rsid w:val="00631A8F"/>
    <w:rsid w:val="00631FFA"/>
    <w:rsid w:val="00632154"/>
    <w:rsid w:val="00632572"/>
    <w:rsid w:val="00633179"/>
    <w:rsid w:val="00633B79"/>
    <w:rsid w:val="00634821"/>
    <w:rsid w:val="00635A93"/>
    <w:rsid w:val="00635CBA"/>
    <w:rsid w:val="00635F6E"/>
    <w:rsid w:val="00636570"/>
    <w:rsid w:val="00636F7E"/>
    <w:rsid w:val="00637236"/>
    <w:rsid w:val="006377C4"/>
    <w:rsid w:val="00637EF2"/>
    <w:rsid w:val="00641375"/>
    <w:rsid w:val="00641779"/>
    <w:rsid w:val="006419D6"/>
    <w:rsid w:val="00641EAA"/>
    <w:rsid w:val="00642462"/>
    <w:rsid w:val="00642F48"/>
    <w:rsid w:val="006431EB"/>
    <w:rsid w:val="00643B06"/>
    <w:rsid w:val="00643E0D"/>
    <w:rsid w:val="00644C81"/>
    <w:rsid w:val="0064529A"/>
    <w:rsid w:val="00645A4A"/>
    <w:rsid w:val="00645CF4"/>
    <w:rsid w:val="00645E43"/>
    <w:rsid w:val="006460AF"/>
    <w:rsid w:val="006469C8"/>
    <w:rsid w:val="00646CFB"/>
    <w:rsid w:val="006477C3"/>
    <w:rsid w:val="006479F0"/>
    <w:rsid w:val="00647AB3"/>
    <w:rsid w:val="00650EF5"/>
    <w:rsid w:val="00650F32"/>
    <w:rsid w:val="0065140C"/>
    <w:rsid w:val="00651E37"/>
    <w:rsid w:val="00652B6F"/>
    <w:rsid w:val="006532C5"/>
    <w:rsid w:val="0065362D"/>
    <w:rsid w:val="00653CA9"/>
    <w:rsid w:val="0065482B"/>
    <w:rsid w:val="0065495E"/>
    <w:rsid w:val="00655B72"/>
    <w:rsid w:val="00656327"/>
    <w:rsid w:val="00656ACE"/>
    <w:rsid w:val="00656D9F"/>
    <w:rsid w:val="0065732B"/>
    <w:rsid w:val="0065789C"/>
    <w:rsid w:val="00657B79"/>
    <w:rsid w:val="00660028"/>
    <w:rsid w:val="00660546"/>
    <w:rsid w:val="006605BC"/>
    <w:rsid w:val="006607CB"/>
    <w:rsid w:val="006608D0"/>
    <w:rsid w:val="00660A4D"/>
    <w:rsid w:val="00660E72"/>
    <w:rsid w:val="00661086"/>
    <w:rsid w:val="006610F1"/>
    <w:rsid w:val="006617EE"/>
    <w:rsid w:val="0066265A"/>
    <w:rsid w:val="006634D2"/>
    <w:rsid w:val="006638F5"/>
    <w:rsid w:val="00663EFE"/>
    <w:rsid w:val="00664491"/>
    <w:rsid w:val="006646A8"/>
    <w:rsid w:val="006648FB"/>
    <w:rsid w:val="00664B18"/>
    <w:rsid w:val="006652E8"/>
    <w:rsid w:val="006654BF"/>
    <w:rsid w:val="00665959"/>
    <w:rsid w:val="00665E19"/>
    <w:rsid w:val="00666515"/>
    <w:rsid w:val="00666538"/>
    <w:rsid w:val="006669EE"/>
    <w:rsid w:val="00666C7C"/>
    <w:rsid w:val="00666DBE"/>
    <w:rsid w:val="00670717"/>
    <w:rsid w:val="00671E3A"/>
    <w:rsid w:val="006722D3"/>
    <w:rsid w:val="006724F6"/>
    <w:rsid w:val="006739AA"/>
    <w:rsid w:val="00673D30"/>
    <w:rsid w:val="00673ED2"/>
    <w:rsid w:val="00673FF3"/>
    <w:rsid w:val="006746EF"/>
    <w:rsid w:val="00674920"/>
    <w:rsid w:val="00675644"/>
    <w:rsid w:val="006763C1"/>
    <w:rsid w:val="00677170"/>
    <w:rsid w:val="006773DA"/>
    <w:rsid w:val="00677CF5"/>
    <w:rsid w:val="0068005A"/>
    <w:rsid w:val="00680CB4"/>
    <w:rsid w:val="00680D6E"/>
    <w:rsid w:val="006816CE"/>
    <w:rsid w:val="00681EEE"/>
    <w:rsid w:val="00682040"/>
    <w:rsid w:val="00682D76"/>
    <w:rsid w:val="006830CB"/>
    <w:rsid w:val="0068318D"/>
    <w:rsid w:val="0068354A"/>
    <w:rsid w:val="00683618"/>
    <w:rsid w:val="00683778"/>
    <w:rsid w:val="00683CA5"/>
    <w:rsid w:val="00683E59"/>
    <w:rsid w:val="00684519"/>
    <w:rsid w:val="00684B24"/>
    <w:rsid w:val="00684D1E"/>
    <w:rsid w:val="00684FBF"/>
    <w:rsid w:val="0068522A"/>
    <w:rsid w:val="00685679"/>
    <w:rsid w:val="006857C1"/>
    <w:rsid w:val="00685B86"/>
    <w:rsid w:val="006876FC"/>
    <w:rsid w:val="00687870"/>
    <w:rsid w:val="006901E8"/>
    <w:rsid w:val="00690298"/>
    <w:rsid w:val="0069072B"/>
    <w:rsid w:val="0069086E"/>
    <w:rsid w:val="00690A73"/>
    <w:rsid w:val="006915B6"/>
    <w:rsid w:val="00691C19"/>
    <w:rsid w:val="00692257"/>
    <w:rsid w:val="0069229B"/>
    <w:rsid w:val="00692654"/>
    <w:rsid w:val="00692D91"/>
    <w:rsid w:val="00692E8C"/>
    <w:rsid w:val="00693048"/>
    <w:rsid w:val="006943F1"/>
    <w:rsid w:val="006944AA"/>
    <w:rsid w:val="0069476A"/>
    <w:rsid w:val="00694E76"/>
    <w:rsid w:val="0069658B"/>
    <w:rsid w:val="006973E2"/>
    <w:rsid w:val="0069741B"/>
    <w:rsid w:val="00697468"/>
    <w:rsid w:val="006A07A2"/>
    <w:rsid w:val="006A0AEA"/>
    <w:rsid w:val="006A1517"/>
    <w:rsid w:val="006A31BC"/>
    <w:rsid w:val="006A404E"/>
    <w:rsid w:val="006A45A5"/>
    <w:rsid w:val="006A4AE1"/>
    <w:rsid w:val="006A56FC"/>
    <w:rsid w:val="006A59FA"/>
    <w:rsid w:val="006A5B55"/>
    <w:rsid w:val="006A5D69"/>
    <w:rsid w:val="006A61D4"/>
    <w:rsid w:val="006A6207"/>
    <w:rsid w:val="006A6430"/>
    <w:rsid w:val="006A65AA"/>
    <w:rsid w:val="006A699C"/>
    <w:rsid w:val="006A6D6E"/>
    <w:rsid w:val="006A76F0"/>
    <w:rsid w:val="006A7CA4"/>
    <w:rsid w:val="006A7D59"/>
    <w:rsid w:val="006B0427"/>
    <w:rsid w:val="006B0455"/>
    <w:rsid w:val="006B1ED8"/>
    <w:rsid w:val="006B20E8"/>
    <w:rsid w:val="006B2331"/>
    <w:rsid w:val="006B35E3"/>
    <w:rsid w:val="006B3A3A"/>
    <w:rsid w:val="006B3BE1"/>
    <w:rsid w:val="006B463D"/>
    <w:rsid w:val="006B4C85"/>
    <w:rsid w:val="006B5E11"/>
    <w:rsid w:val="006B681A"/>
    <w:rsid w:val="006B6A62"/>
    <w:rsid w:val="006B6FC5"/>
    <w:rsid w:val="006B7914"/>
    <w:rsid w:val="006B7A4A"/>
    <w:rsid w:val="006B7A5A"/>
    <w:rsid w:val="006B7D2E"/>
    <w:rsid w:val="006C0257"/>
    <w:rsid w:val="006C11C4"/>
    <w:rsid w:val="006C2150"/>
    <w:rsid w:val="006C3C76"/>
    <w:rsid w:val="006C44BB"/>
    <w:rsid w:val="006C4C27"/>
    <w:rsid w:val="006C55D8"/>
    <w:rsid w:val="006C5EAC"/>
    <w:rsid w:val="006C61A2"/>
    <w:rsid w:val="006C6E2E"/>
    <w:rsid w:val="006C7437"/>
    <w:rsid w:val="006D09CD"/>
    <w:rsid w:val="006D0A72"/>
    <w:rsid w:val="006D0E5A"/>
    <w:rsid w:val="006D14F5"/>
    <w:rsid w:val="006D175A"/>
    <w:rsid w:val="006D17E6"/>
    <w:rsid w:val="006D1866"/>
    <w:rsid w:val="006D1984"/>
    <w:rsid w:val="006D206E"/>
    <w:rsid w:val="006D25A2"/>
    <w:rsid w:val="006D2E93"/>
    <w:rsid w:val="006D2FC9"/>
    <w:rsid w:val="006D462F"/>
    <w:rsid w:val="006D5232"/>
    <w:rsid w:val="006D6EBF"/>
    <w:rsid w:val="006D71EF"/>
    <w:rsid w:val="006D7F6C"/>
    <w:rsid w:val="006D7F97"/>
    <w:rsid w:val="006E02D3"/>
    <w:rsid w:val="006E1A3A"/>
    <w:rsid w:val="006E1B08"/>
    <w:rsid w:val="006E1B7F"/>
    <w:rsid w:val="006E1DF5"/>
    <w:rsid w:val="006E228D"/>
    <w:rsid w:val="006E24A7"/>
    <w:rsid w:val="006E2D4E"/>
    <w:rsid w:val="006E2FA2"/>
    <w:rsid w:val="006E3358"/>
    <w:rsid w:val="006E3575"/>
    <w:rsid w:val="006E404E"/>
    <w:rsid w:val="006E4283"/>
    <w:rsid w:val="006E434C"/>
    <w:rsid w:val="006E5B96"/>
    <w:rsid w:val="006E5F5C"/>
    <w:rsid w:val="006E6711"/>
    <w:rsid w:val="006E7601"/>
    <w:rsid w:val="006E7995"/>
    <w:rsid w:val="006E7E95"/>
    <w:rsid w:val="006F0A5A"/>
    <w:rsid w:val="006F15C0"/>
    <w:rsid w:val="006F15F8"/>
    <w:rsid w:val="006F16BC"/>
    <w:rsid w:val="006F19B4"/>
    <w:rsid w:val="006F26CC"/>
    <w:rsid w:val="006F2F0D"/>
    <w:rsid w:val="006F316D"/>
    <w:rsid w:val="006F3172"/>
    <w:rsid w:val="006F3271"/>
    <w:rsid w:val="006F3895"/>
    <w:rsid w:val="006F41D0"/>
    <w:rsid w:val="006F4728"/>
    <w:rsid w:val="006F4F82"/>
    <w:rsid w:val="006F5AC2"/>
    <w:rsid w:val="006F6107"/>
    <w:rsid w:val="006F65EC"/>
    <w:rsid w:val="006F6634"/>
    <w:rsid w:val="006F6D2E"/>
    <w:rsid w:val="00700052"/>
    <w:rsid w:val="007003E1"/>
    <w:rsid w:val="007010B1"/>
    <w:rsid w:val="00701163"/>
    <w:rsid w:val="00701D0F"/>
    <w:rsid w:val="00702A83"/>
    <w:rsid w:val="0070320F"/>
    <w:rsid w:val="00703871"/>
    <w:rsid w:val="00704349"/>
    <w:rsid w:val="00704CF8"/>
    <w:rsid w:val="00704EC5"/>
    <w:rsid w:val="00706047"/>
    <w:rsid w:val="0070672E"/>
    <w:rsid w:val="00707BBC"/>
    <w:rsid w:val="00707E70"/>
    <w:rsid w:val="0071020E"/>
    <w:rsid w:val="00710265"/>
    <w:rsid w:val="00710744"/>
    <w:rsid w:val="00710946"/>
    <w:rsid w:val="0071218E"/>
    <w:rsid w:val="007128E3"/>
    <w:rsid w:val="00713A3B"/>
    <w:rsid w:val="0071460C"/>
    <w:rsid w:val="00714809"/>
    <w:rsid w:val="00714D9F"/>
    <w:rsid w:val="00715C2F"/>
    <w:rsid w:val="0072029B"/>
    <w:rsid w:val="00721D28"/>
    <w:rsid w:val="00722E3F"/>
    <w:rsid w:val="007230DE"/>
    <w:rsid w:val="00723208"/>
    <w:rsid w:val="0072364A"/>
    <w:rsid w:val="00723781"/>
    <w:rsid w:val="00723D00"/>
    <w:rsid w:val="00723E4B"/>
    <w:rsid w:val="007240E7"/>
    <w:rsid w:val="007243AA"/>
    <w:rsid w:val="00725611"/>
    <w:rsid w:val="00726CF5"/>
    <w:rsid w:val="00726E35"/>
    <w:rsid w:val="00726EA1"/>
    <w:rsid w:val="00727BD6"/>
    <w:rsid w:val="00727C34"/>
    <w:rsid w:val="0073103F"/>
    <w:rsid w:val="0073380D"/>
    <w:rsid w:val="00733A6D"/>
    <w:rsid w:val="00733CBC"/>
    <w:rsid w:val="0073408C"/>
    <w:rsid w:val="0073416C"/>
    <w:rsid w:val="0073431B"/>
    <w:rsid w:val="00734B65"/>
    <w:rsid w:val="007353C8"/>
    <w:rsid w:val="0073621A"/>
    <w:rsid w:val="007366ED"/>
    <w:rsid w:val="00737C05"/>
    <w:rsid w:val="0074032C"/>
    <w:rsid w:val="0074079D"/>
    <w:rsid w:val="00742A40"/>
    <w:rsid w:val="00743100"/>
    <w:rsid w:val="007435E0"/>
    <w:rsid w:val="0074373F"/>
    <w:rsid w:val="00743AD8"/>
    <w:rsid w:val="00743C0A"/>
    <w:rsid w:val="00743CFC"/>
    <w:rsid w:val="00743F66"/>
    <w:rsid w:val="00744329"/>
    <w:rsid w:val="00744C5E"/>
    <w:rsid w:val="00745C8D"/>
    <w:rsid w:val="0074658D"/>
    <w:rsid w:val="00747113"/>
    <w:rsid w:val="00747B88"/>
    <w:rsid w:val="00750C9B"/>
    <w:rsid w:val="00750CD9"/>
    <w:rsid w:val="00750CEB"/>
    <w:rsid w:val="00750F14"/>
    <w:rsid w:val="00751032"/>
    <w:rsid w:val="0075113D"/>
    <w:rsid w:val="0075215A"/>
    <w:rsid w:val="0075350B"/>
    <w:rsid w:val="00753992"/>
    <w:rsid w:val="00754FC0"/>
    <w:rsid w:val="0075570A"/>
    <w:rsid w:val="00755EB6"/>
    <w:rsid w:val="0075657B"/>
    <w:rsid w:val="00756870"/>
    <w:rsid w:val="00757314"/>
    <w:rsid w:val="007604BB"/>
    <w:rsid w:val="007612BA"/>
    <w:rsid w:val="007612D8"/>
    <w:rsid w:val="00761F85"/>
    <w:rsid w:val="00762858"/>
    <w:rsid w:val="007636ED"/>
    <w:rsid w:val="00763785"/>
    <w:rsid w:val="00763806"/>
    <w:rsid w:val="0076382D"/>
    <w:rsid w:val="00763F1C"/>
    <w:rsid w:val="00763FBB"/>
    <w:rsid w:val="00764427"/>
    <w:rsid w:val="007645B2"/>
    <w:rsid w:val="00764FB9"/>
    <w:rsid w:val="00765BCB"/>
    <w:rsid w:val="0076650C"/>
    <w:rsid w:val="007665FA"/>
    <w:rsid w:val="0076707D"/>
    <w:rsid w:val="0076792C"/>
    <w:rsid w:val="007679FE"/>
    <w:rsid w:val="00771449"/>
    <w:rsid w:val="007726C5"/>
    <w:rsid w:val="0077297C"/>
    <w:rsid w:val="007737FB"/>
    <w:rsid w:val="007740D3"/>
    <w:rsid w:val="00774B65"/>
    <w:rsid w:val="00775239"/>
    <w:rsid w:val="00775B0A"/>
    <w:rsid w:val="0077611D"/>
    <w:rsid w:val="00776D16"/>
    <w:rsid w:val="0077704F"/>
    <w:rsid w:val="0077733E"/>
    <w:rsid w:val="0077740B"/>
    <w:rsid w:val="00780277"/>
    <w:rsid w:val="007803D0"/>
    <w:rsid w:val="00780465"/>
    <w:rsid w:val="007809B0"/>
    <w:rsid w:val="007811E3"/>
    <w:rsid w:val="00781D79"/>
    <w:rsid w:val="0078247A"/>
    <w:rsid w:val="007827EA"/>
    <w:rsid w:val="00782A0A"/>
    <w:rsid w:val="00784148"/>
    <w:rsid w:val="00784964"/>
    <w:rsid w:val="00790C02"/>
    <w:rsid w:val="0079100D"/>
    <w:rsid w:val="00791634"/>
    <w:rsid w:val="00792484"/>
    <w:rsid w:val="00792C95"/>
    <w:rsid w:val="00792DA2"/>
    <w:rsid w:val="00793337"/>
    <w:rsid w:val="007934B4"/>
    <w:rsid w:val="00795038"/>
    <w:rsid w:val="00795DAA"/>
    <w:rsid w:val="00795E62"/>
    <w:rsid w:val="007961EF"/>
    <w:rsid w:val="007965B6"/>
    <w:rsid w:val="00796AD5"/>
    <w:rsid w:val="007970CB"/>
    <w:rsid w:val="007977F6"/>
    <w:rsid w:val="007A2069"/>
    <w:rsid w:val="007A2354"/>
    <w:rsid w:val="007A2557"/>
    <w:rsid w:val="007A290C"/>
    <w:rsid w:val="007A317A"/>
    <w:rsid w:val="007A3283"/>
    <w:rsid w:val="007A4ADA"/>
    <w:rsid w:val="007A599E"/>
    <w:rsid w:val="007A683E"/>
    <w:rsid w:val="007A6856"/>
    <w:rsid w:val="007A6968"/>
    <w:rsid w:val="007A6B60"/>
    <w:rsid w:val="007A6DEF"/>
    <w:rsid w:val="007A6FD0"/>
    <w:rsid w:val="007A716F"/>
    <w:rsid w:val="007A734B"/>
    <w:rsid w:val="007A790C"/>
    <w:rsid w:val="007A7D10"/>
    <w:rsid w:val="007B04FC"/>
    <w:rsid w:val="007B10BD"/>
    <w:rsid w:val="007B1CC9"/>
    <w:rsid w:val="007B1E3B"/>
    <w:rsid w:val="007B299B"/>
    <w:rsid w:val="007B2D09"/>
    <w:rsid w:val="007B32C7"/>
    <w:rsid w:val="007B4381"/>
    <w:rsid w:val="007B6261"/>
    <w:rsid w:val="007B64E4"/>
    <w:rsid w:val="007B6952"/>
    <w:rsid w:val="007B6EB3"/>
    <w:rsid w:val="007B70DB"/>
    <w:rsid w:val="007B73A0"/>
    <w:rsid w:val="007B74F8"/>
    <w:rsid w:val="007B7721"/>
    <w:rsid w:val="007B7A8F"/>
    <w:rsid w:val="007C145B"/>
    <w:rsid w:val="007C1E1A"/>
    <w:rsid w:val="007C22D3"/>
    <w:rsid w:val="007C257C"/>
    <w:rsid w:val="007C3EE4"/>
    <w:rsid w:val="007C492A"/>
    <w:rsid w:val="007C4B62"/>
    <w:rsid w:val="007C6448"/>
    <w:rsid w:val="007C6A3D"/>
    <w:rsid w:val="007C7517"/>
    <w:rsid w:val="007C7B75"/>
    <w:rsid w:val="007D0B0F"/>
    <w:rsid w:val="007D0C9A"/>
    <w:rsid w:val="007D2F4A"/>
    <w:rsid w:val="007D3CF3"/>
    <w:rsid w:val="007D418C"/>
    <w:rsid w:val="007D48FE"/>
    <w:rsid w:val="007D4A93"/>
    <w:rsid w:val="007D5900"/>
    <w:rsid w:val="007D617F"/>
    <w:rsid w:val="007D6239"/>
    <w:rsid w:val="007D7243"/>
    <w:rsid w:val="007D7990"/>
    <w:rsid w:val="007D7B79"/>
    <w:rsid w:val="007D7CDA"/>
    <w:rsid w:val="007E087C"/>
    <w:rsid w:val="007E08F8"/>
    <w:rsid w:val="007E0AEB"/>
    <w:rsid w:val="007E180C"/>
    <w:rsid w:val="007E1BBD"/>
    <w:rsid w:val="007E1E06"/>
    <w:rsid w:val="007E321F"/>
    <w:rsid w:val="007E3432"/>
    <w:rsid w:val="007E35DC"/>
    <w:rsid w:val="007E367E"/>
    <w:rsid w:val="007E3AEA"/>
    <w:rsid w:val="007E3FB6"/>
    <w:rsid w:val="007E4ACA"/>
    <w:rsid w:val="007E4D57"/>
    <w:rsid w:val="007E568C"/>
    <w:rsid w:val="007E5A3E"/>
    <w:rsid w:val="007E64F1"/>
    <w:rsid w:val="007E6DF7"/>
    <w:rsid w:val="007E7C31"/>
    <w:rsid w:val="007F013F"/>
    <w:rsid w:val="007F0A8C"/>
    <w:rsid w:val="007F113E"/>
    <w:rsid w:val="007F1214"/>
    <w:rsid w:val="007F1289"/>
    <w:rsid w:val="007F1DC5"/>
    <w:rsid w:val="007F2518"/>
    <w:rsid w:val="007F3100"/>
    <w:rsid w:val="007F3E52"/>
    <w:rsid w:val="007F42BE"/>
    <w:rsid w:val="007F4FDA"/>
    <w:rsid w:val="007F531A"/>
    <w:rsid w:val="007F551E"/>
    <w:rsid w:val="007F5D58"/>
    <w:rsid w:val="007F62AF"/>
    <w:rsid w:val="007F7646"/>
    <w:rsid w:val="007F7967"/>
    <w:rsid w:val="0080014A"/>
    <w:rsid w:val="00800B1D"/>
    <w:rsid w:val="00800F2D"/>
    <w:rsid w:val="00800FF1"/>
    <w:rsid w:val="00801379"/>
    <w:rsid w:val="008014FB"/>
    <w:rsid w:val="0080159D"/>
    <w:rsid w:val="008016C6"/>
    <w:rsid w:val="00801B8D"/>
    <w:rsid w:val="008020CA"/>
    <w:rsid w:val="008028CD"/>
    <w:rsid w:val="008049ED"/>
    <w:rsid w:val="008049F5"/>
    <w:rsid w:val="00806E4C"/>
    <w:rsid w:val="008073F4"/>
    <w:rsid w:val="00807769"/>
    <w:rsid w:val="008077F2"/>
    <w:rsid w:val="008104B8"/>
    <w:rsid w:val="00810539"/>
    <w:rsid w:val="00810993"/>
    <w:rsid w:val="00810EA3"/>
    <w:rsid w:val="008112BE"/>
    <w:rsid w:val="008116C2"/>
    <w:rsid w:val="00811B7B"/>
    <w:rsid w:val="0081232E"/>
    <w:rsid w:val="00812634"/>
    <w:rsid w:val="00812658"/>
    <w:rsid w:val="008126F3"/>
    <w:rsid w:val="00812F9A"/>
    <w:rsid w:val="00813019"/>
    <w:rsid w:val="00813D61"/>
    <w:rsid w:val="008140E5"/>
    <w:rsid w:val="00814AD0"/>
    <w:rsid w:val="00814C0A"/>
    <w:rsid w:val="00814C69"/>
    <w:rsid w:val="00814D35"/>
    <w:rsid w:val="00814EAC"/>
    <w:rsid w:val="0081568C"/>
    <w:rsid w:val="00815BAB"/>
    <w:rsid w:val="008169B1"/>
    <w:rsid w:val="00816CE7"/>
    <w:rsid w:val="0081747A"/>
    <w:rsid w:val="008202B6"/>
    <w:rsid w:val="00820428"/>
    <w:rsid w:val="00820776"/>
    <w:rsid w:val="008208AC"/>
    <w:rsid w:val="0082188D"/>
    <w:rsid w:val="00821F0B"/>
    <w:rsid w:val="00821F35"/>
    <w:rsid w:val="00822107"/>
    <w:rsid w:val="008222EE"/>
    <w:rsid w:val="008225C0"/>
    <w:rsid w:val="00822F5C"/>
    <w:rsid w:val="008236BF"/>
    <w:rsid w:val="00823746"/>
    <w:rsid w:val="00823B2A"/>
    <w:rsid w:val="00823E8F"/>
    <w:rsid w:val="00823FCA"/>
    <w:rsid w:val="008240AF"/>
    <w:rsid w:val="0082415B"/>
    <w:rsid w:val="0082490C"/>
    <w:rsid w:val="00824A06"/>
    <w:rsid w:val="00824A0F"/>
    <w:rsid w:val="00824FB0"/>
    <w:rsid w:val="00824FDC"/>
    <w:rsid w:val="0082573E"/>
    <w:rsid w:val="008259A8"/>
    <w:rsid w:val="00825A22"/>
    <w:rsid w:val="0082606F"/>
    <w:rsid w:val="00826698"/>
    <w:rsid w:val="00827400"/>
    <w:rsid w:val="0083058A"/>
    <w:rsid w:val="00830EDA"/>
    <w:rsid w:val="00830FB2"/>
    <w:rsid w:val="00831C95"/>
    <w:rsid w:val="00832135"/>
    <w:rsid w:val="008324FC"/>
    <w:rsid w:val="00832D3F"/>
    <w:rsid w:val="00832F4C"/>
    <w:rsid w:val="00833451"/>
    <w:rsid w:val="00833BA5"/>
    <w:rsid w:val="00834498"/>
    <w:rsid w:val="0083456D"/>
    <w:rsid w:val="00834C90"/>
    <w:rsid w:val="00834F26"/>
    <w:rsid w:val="008354C8"/>
    <w:rsid w:val="008360B1"/>
    <w:rsid w:val="00836195"/>
    <w:rsid w:val="008364AE"/>
    <w:rsid w:val="00836884"/>
    <w:rsid w:val="00837BC6"/>
    <w:rsid w:val="00840DD6"/>
    <w:rsid w:val="00840DF8"/>
    <w:rsid w:val="00841819"/>
    <w:rsid w:val="00841A2E"/>
    <w:rsid w:val="00842502"/>
    <w:rsid w:val="0084282E"/>
    <w:rsid w:val="00842B72"/>
    <w:rsid w:val="00842FEC"/>
    <w:rsid w:val="00843158"/>
    <w:rsid w:val="008435BD"/>
    <w:rsid w:val="00843873"/>
    <w:rsid w:val="00843B18"/>
    <w:rsid w:val="00843D79"/>
    <w:rsid w:val="00843E8A"/>
    <w:rsid w:val="00844260"/>
    <w:rsid w:val="00844387"/>
    <w:rsid w:val="008444E1"/>
    <w:rsid w:val="00844D58"/>
    <w:rsid w:val="00845533"/>
    <w:rsid w:val="0084600C"/>
    <w:rsid w:val="0084628B"/>
    <w:rsid w:val="0084690C"/>
    <w:rsid w:val="00846974"/>
    <w:rsid w:val="008471D5"/>
    <w:rsid w:val="00847FCE"/>
    <w:rsid w:val="00850BD1"/>
    <w:rsid w:val="00850BEB"/>
    <w:rsid w:val="00851686"/>
    <w:rsid w:val="008521EC"/>
    <w:rsid w:val="008533E1"/>
    <w:rsid w:val="00854944"/>
    <w:rsid w:val="008550D8"/>
    <w:rsid w:val="00855907"/>
    <w:rsid w:val="00855ABA"/>
    <w:rsid w:val="008560D6"/>
    <w:rsid w:val="008566EB"/>
    <w:rsid w:val="00856F5A"/>
    <w:rsid w:val="0085763B"/>
    <w:rsid w:val="00857794"/>
    <w:rsid w:val="00857DB7"/>
    <w:rsid w:val="00860167"/>
    <w:rsid w:val="00861443"/>
    <w:rsid w:val="0086150A"/>
    <w:rsid w:val="00861BFA"/>
    <w:rsid w:val="008628FF"/>
    <w:rsid w:val="00862E7D"/>
    <w:rsid w:val="00863AFE"/>
    <w:rsid w:val="00863E4A"/>
    <w:rsid w:val="0086414A"/>
    <w:rsid w:val="00864C69"/>
    <w:rsid w:val="00864DAD"/>
    <w:rsid w:val="00865012"/>
    <w:rsid w:val="00866642"/>
    <w:rsid w:val="00866F01"/>
    <w:rsid w:val="00870098"/>
    <w:rsid w:val="00870150"/>
    <w:rsid w:val="008703A4"/>
    <w:rsid w:val="00872992"/>
    <w:rsid w:val="00872A51"/>
    <w:rsid w:val="00872F7C"/>
    <w:rsid w:val="008732E0"/>
    <w:rsid w:val="00873555"/>
    <w:rsid w:val="00874046"/>
    <w:rsid w:val="0087437F"/>
    <w:rsid w:val="0087455A"/>
    <w:rsid w:val="008747E5"/>
    <w:rsid w:val="00875D25"/>
    <w:rsid w:val="00876F72"/>
    <w:rsid w:val="00877033"/>
    <w:rsid w:val="008770EE"/>
    <w:rsid w:val="00877D12"/>
    <w:rsid w:val="00880909"/>
    <w:rsid w:val="00880B22"/>
    <w:rsid w:val="008810ED"/>
    <w:rsid w:val="00882499"/>
    <w:rsid w:val="00883564"/>
    <w:rsid w:val="00883B9E"/>
    <w:rsid w:val="008842C0"/>
    <w:rsid w:val="0088469F"/>
    <w:rsid w:val="00884A40"/>
    <w:rsid w:val="00884B15"/>
    <w:rsid w:val="008850DA"/>
    <w:rsid w:val="00885285"/>
    <w:rsid w:val="00885D8E"/>
    <w:rsid w:val="00885FF0"/>
    <w:rsid w:val="0088631A"/>
    <w:rsid w:val="00886663"/>
    <w:rsid w:val="00886825"/>
    <w:rsid w:val="00886A6C"/>
    <w:rsid w:val="0088739E"/>
    <w:rsid w:val="008875A7"/>
    <w:rsid w:val="00887B5F"/>
    <w:rsid w:val="00887B9F"/>
    <w:rsid w:val="008900B7"/>
    <w:rsid w:val="0089036B"/>
    <w:rsid w:val="00890872"/>
    <w:rsid w:val="00890B41"/>
    <w:rsid w:val="00891000"/>
    <w:rsid w:val="00891214"/>
    <w:rsid w:val="0089133F"/>
    <w:rsid w:val="00891E65"/>
    <w:rsid w:val="008925E6"/>
    <w:rsid w:val="008926C7"/>
    <w:rsid w:val="00892D44"/>
    <w:rsid w:val="00892EA7"/>
    <w:rsid w:val="00894BDD"/>
    <w:rsid w:val="00895071"/>
    <w:rsid w:val="0089518B"/>
    <w:rsid w:val="00895751"/>
    <w:rsid w:val="00895C5C"/>
    <w:rsid w:val="008A067C"/>
    <w:rsid w:val="008A0A48"/>
    <w:rsid w:val="008A12F6"/>
    <w:rsid w:val="008A1357"/>
    <w:rsid w:val="008A14C0"/>
    <w:rsid w:val="008A1ECF"/>
    <w:rsid w:val="008A4DC9"/>
    <w:rsid w:val="008A5FEC"/>
    <w:rsid w:val="008A6157"/>
    <w:rsid w:val="008A6227"/>
    <w:rsid w:val="008A64A0"/>
    <w:rsid w:val="008A67A1"/>
    <w:rsid w:val="008A6C8D"/>
    <w:rsid w:val="008A7625"/>
    <w:rsid w:val="008A78DD"/>
    <w:rsid w:val="008A7A08"/>
    <w:rsid w:val="008A7B14"/>
    <w:rsid w:val="008A7F3B"/>
    <w:rsid w:val="008B01C1"/>
    <w:rsid w:val="008B1568"/>
    <w:rsid w:val="008B1BDF"/>
    <w:rsid w:val="008B1F6A"/>
    <w:rsid w:val="008B2204"/>
    <w:rsid w:val="008B2346"/>
    <w:rsid w:val="008B26F0"/>
    <w:rsid w:val="008B28D4"/>
    <w:rsid w:val="008B31DB"/>
    <w:rsid w:val="008B3E4B"/>
    <w:rsid w:val="008B3F02"/>
    <w:rsid w:val="008B4501"/>
    <w:rsid w:val="008B47C0"/>
    <w:rsid w:val="008B4C43"/>
    <w:rsid w:val="008B4DDC"/>
    <w:rsid w:val="008B55D1"/>
    <w:rsid w:val="008B5603"/>
    <w:rsid w:val="008B5699"/>
    <w:rsid w:val="008B70B0"/>
    <w:rsid w:val="008B7B66"/>
    <w:rsid w:val="008C1795"/>
    <w:rsid w:val="008C1B10"/>
    <w:rsid w:val="008C1B2A"/>
    <w:rsid w:val="008C1D00"/>
    <w:rsid w:val="008C221E"/>
    <w:rsid w:val="008C2869"/>
    <w:rsid w:val="008C2C33"/>
    <w:rsid w:val="008C2E23"/>
    <w:rsid w:val="008C2EF5"/>
    <w:rsid w:val="008C3908"/>
    <w:rsid w:val="008C3973"/>
    <w:rsid w:val="008C3ADF"/>
    <w:rsid w:val="008C3C98"/>
    <w:rsid w:val="008C45FB"/>
    <w:rsid w:val="008C4CE1"/>
    <w:rsid w:val="008C5030"/>
    <w:rsid w:val="008C5A86"/>
    <w:rsid w:val="008C619C"/>
    <w:rsid w:val="008C625E"/>
    <w:rsid w:val="008C629C"/>
    <w:rsid w:val="008C70B4"/>
    <w:rsid w:val="008C71B2"/>
    <w:rsid w:val="008D223F"/>
    <w:rsid w:val="008D2D0D"/>
    <w:rsid w:val="008D308D"/>
    <w:rsid w:val="008D3954"/>
    <w:rsid w:val="008D4437"/>
    <w:rsid w:val="008D464D"/>
    <w:rsid w:val="008D5C5A"/>
    <w:rsid w:val="008D5ECD"/>
    <w:rsid w:val="008D6938"/>
    <w:rsid w:val="008D7BD6"/>
    <w:rsid w:val="008E1404"/>
    <w:rsid w:val="008E1B69"/>
    <w:rsid w:val="008E2726"/>
    <w:rsid w:val="008E3626"/>
    <w:rsid w:val="008E3A15"/>
    <w:rsid w:val="008E3D18"/>
    <w:rsid w:val="008E4003"/>
    <w:rsid w:val="008E43EB"/>
    <w:rsid w:val="008E4B84"/>
    <w:rsid w:val="008E4FDF"/>
    <w:rsid w:val="008E5D6B"/>
    <w:rsid w:val="008E7033"/>
    <w:rsid w:val="008E7C36"/>
    <w:rsid w:val="008E7C49"/>
    <w:rsid w:val="008E7E54"/>
    <w:rsid w:val="008F0770"/>
    <w:rsid w:val="008F092C"/>
    <w:rsid w:val="008F0C2D"/>
    <w:rsid w:val="008F0D8C"/>
    <w:rsid w:val="008F0F27"/>
    <w:rsid w:val="008F19C8"/>
    <w:rsid w:val="008F1A98"/>
    <w:rsid w:val="008F2089"/>
    <w:rsid w:val="008F29D2"/>
    <w:rsid w:val="008F2ADD"/>
    <w:rsid w:val="008F2CBF"/>
    <w:rsid w:val="008F3BA9"/>
    <w:rsid w:val="008F3BEE"/>
    <w:rsid w:val="008F42DD"/>
    <w:rsid w:val="008F4686"/>
    <w:rsid w:val="008F4E31"/>
    <w:rsid w:val="008F5054"/>
    <w:rsid w:val="008F5D90"/>
    <w:rsid w:val="008F6586"/>
    <w:rsid w:val="008F6887"/>
    <w:rsid w:val="008F6A47"/>
    <w:rsid w:val="008F75E9"/>
    <w:rsid w:val="008F7624"/>
    <w:rsid w:val="008F781B"/>
    <w:rsid w:val="008F7B2C"/>
    <w:rsid w:val="008F7BFB"/>
    <w:rsid w:val="008F7F62"/>
    <w:rsid w:val="009015A1"/>
    <w:rsid w:val="0090219F"/>
    <w:rsid w:val="00902948"/>
    <w:rsid w:val="0090313E"/>
    <w:rsid w:val="0090513F"/>
    <w:rsid w:val="0090540F"/>
    <w:rsid w:val="0090669C"/>
    <w:rsid w:val="00907309"/>
    <w:rsid w:val="0090766D"/>
    <w:rsid w:val="009077F7"/>
    <w:rsid w:val="009079B8"/>
    <w:rsid w:val="00907D3E"/>
    <w:rsid w:val="00907E13"/>
    <w:rsid w:val="009101C5"/>
    <w:rsid w:val="00910842"/>
    <w:rsid w:val="0091088E"/>
    <w:rsid w:val="00910F9D"/>
    <w:rsid w:val="00911317"/>
    <w:rsid w:val="009123A8"/>
    <w:rsid w:val="00913050"/>
    <w:rsid w:val="0091446A"/>
    <w:rsid w:val="009147A1"/>
    <w:rsid w:val="00914A8F"/>
    <w:rsid w:val="00914B88"/>
    <w:rsid w:val="00914D4A"/>
    <w:rsid w:val="00915772"/>
    <w:rsid w:val="00915A18"/>
    <w:rsid w:val="00916A03"/>
    <w:rsid w:val="0091771B"/>
    <w:rsid w:val="00920BFA"/>
    <w:rsid w:val="0092108A"/>
    <w:rsid w:val="00921794"/>
    <w:rsid w:val="00922F67"/>
    <w:rsid w:val="009234BB"/>
    <w:rsid w:val="0092369F"/>
    <w:rsid w:val="00923774"/>
    <w:rsid w:val="00923B8F"/>
    <w:rsid w:val="00923EC0"/>
    <w:rsid w:val="0092437D"/>
    <w:rsid w:val="009244CB"/>
    <w:rsid w:val="0092513D"/>
    <w:rsid w:val="0092550D"/>
    <w:rsid w:val="009265BD"/>
    <w:rsid w:val="009269BE"/>
    <w:rsid w:val="00926A48"/>
    <w:rsid w:val="00926B46"/>
    <w:rsid w:val="009277CC"/>
    <w:rsid w:val="009278AB"/>
    <w:rsid w:val="00927ADC"/>
    <w:rsid w:val="009304CE"/>
    <w:rsid w:val="00930B5B"/>
    <w:rsid w:val="00931F1F"/>
    <w:rsid w:val="00932976"/>
    <w:rsid w:val="00932AAC"/>
    <w:rsid w:val="0093372C"/>
    <w:rsid w:val="0093375D"/>
    <w:rsid w:val="00933FBB"/>
    <w:rsid w:val="0093411E"/>
    <w:rsid w:val="00934645"/>
    <w:rsid w:val="00934B49"/>
    <w:rsid w:val="00934DD4"/>
    <w:rsid w:val="0093597A"/>
    <w:rsid w:val="00935E00"/>
    <w:rsid w:val="0093698C"/>
    <w:rsid w:val="009369A1"/>
    <w:rsid w:val="009369AA"/>
    <w:rsid w:val="00936B20"/>
    <w:rsid w:val="009379BE"/>
    <w:rsid w:val="00937AB8"/>
    <w:rsid w:val="00937FB4"/>
    <w:rsid w:val="00940AA6"/>
    <w:rsid w:val="00941A26"/>
    <w:rsid w:val="009430AF"/>
    <w:rsid w:val="00943294"/>
    <w:rsid w:val="00943319"/>
    <w:rsid w:val="0094467B"/>
    <w:rsid w:val="00944727"/>
    <w:rsid w:val="00944C6B"/>
    <w:rsid w:val="00944D7A"/>
    <w:rsid w:val="009452BB"/>
    <w:rsid w:val="0094569E"/>
    <w:rsid w:val="00945955"/>
    <w:rsid w:val="009469CB"/>
    <w:rsid w:val="00946AC5"/>
    <w:rsid w:val="00946AE2"/>
    <w:rsid w:val="00947539"/>
    <w:rsid w:val="0094762F"/>
    <w:rsid w:val="0095058D"/>
    <w:rsid w:val="00951E64"/>
    <w:rsid w:val="0095218E"/>
    <w:rsid w:val="009522FB"/>
    <w:rsid w:val="0095326E"/>
    <w:rsid w:val="00953472"/>
    <w:rsid w:val="009534B3"/>
    <w:rsid w:val="00954959"/>
    <w:rsid w:val="009550B2"/>
    <w:rsid w:val="0095562E"/>
    <w:rsid w:val="00955EA9"/>
    <w:rsid w:val="009565CF"/>
    <w:rsid w:val="00956876"/>
    <w:rsid w:val="00956CA2"/>
    <w:rsid w:val="00956FB4"/>
    <w:rsid w:val="00957149"/>
    <w:rsid w:val="00957D1E"/>
    <w:rsid w:val="009601B0"/>
    <w:rsid w:val="00961851"/>
    <w:rsid w:val="00961C01"/>
    <w:rsid w:val="00961F1F"/>
    <w:rsid w:val="00962A5E"/>
    <w:rsid w:val="00962BA4"/>
    <w:rsid w:val="009634ED"/>
    <w:rsid w:val="00964005"/>
    <w:rsid w:val="009644C9"/>
    <w:rsid w:val="009649D7"/>
    <w:rsid w:val="00964C80"/>
    <w:rsid w:val="00964DC6"/>
    <w:rsid w:val="00965981"/>
    <w:rsid w:val="00965A3E"/>
    <w:rsid w:val="00966694"/>
    <w:rsid w:val="009668DB"/>
    <w:rsid w:val="00972A89"/>
    <w:rsid w:val="00973A28"/>
    <w:rsid w:val="00973E06"/>
    <w:rsid w:val="0097423D"/>
    <w:rsid w:val="00974A4C"/>
    <w:rsid w:val="00975D3B"/>
    <w:rsid w:val="00975E8A"/>
    <w:rsid w:val="00976A0F"/>
    <w:rsid w:val="00977059"/>
    <w:rsid w:val="0097725D"/>
    <w:rsid w:val="009806EB"/>
    <w:rsid w:val="009809B5"/>
    <w:rsid w:val="00980E25"/>
    <w:rsid w:val="009815D1"/>
    <w:rsid w:val="0098167E"/>
    <w:rsid w:val="0098179F"/>
    <w:rsid w:val="00981A33"/>
    <w:rsid w:val="00982257"/>
    <w:rsid w:val="00982F0D"/>
    <w:rsid w:val="009830FE"/>
    <w:rsid w:val="00983EDC"/>
    <w:rsid w:val="009840CF"/>
    <w:rsid w:val="00984240"/>
    <w:rsid w:val="00984E21"/>
    <w:rsid w:val="009857F6"/>
    <w:rsid w:val="00986236"/>
    <w:rsid w:val="00986D3D"/>
    <w:rsid w:val="00986FEE"/>
    <w:rsid w:val="00987FF0"/>
    <w:rsid w:val="00990244"/>
    <w:rsid w:val="00990C61"/>
    <w:rsid w:val="009920DD"/>
    <w:rsid w:val="00992FC5"/>
    <w:rsid w:val="00993133"/>
    <w:rsid w:val="00993136"/>
    <w:rsid w:val="009931DE"/>
    <w:rsid w:val="0099392D"/>
    <w:rsid w:val="0099406B"/>
    <w:rsid w:val="00994EF1"/>
    <w:rsid w:val="009955D8"/>
    <w:rsid w:val="0099595C"/>
    <w:rsid w:val="00995975"/>
    <w:rsid w:val="009964B8"/>
    <w:rsid w:val="009966F3"/>
    <w:rsid w:val="00997112"/>
    <w:rsid w:val="00997903"/>
    <w:rsid w:val="00997E25"/>
    <w:rsid w:val="009A0636"/>
    <w:rsid w:val="009A0BD7"/>
    <w:rsid w:val="009A2E32"/>
    <w:rsid w:val="009A3AD7"/>
    <w:rsid w:val="009A3B97"/>
    <w:rsid w:val="009A451C"/>
    <w:rsid w:val="009A48C7"/>
    <w:rsid w:val="009A4C6A"/>
    <w:rsid w:val="009A5BE1"/>
    <w:rsid w:val="009A63D6"/>
    <w:rsid w:val="009A6899"/>
    <w:rsid w:val="009A7415"/>
    <w:rsid w:val="009A794A"/>
    <w:rsid w:val="009A794F"/>
    <w:rsid w:val="009A7B8C"/>
    <w:rsid w:val="009A7E87"/>
    <w:rsid w:val="009B0292"/>
    <w:rsid w:val="009B0976"/>
    <w:rsid w:val="009B0FCD"/>
    <w:rsid w:val="009B19BE"/>
    <w:rsid w:val="009B2A9D"/>
    <w:rsid w:val="009B2D53"/>
    <w:rsid w:val="009B36EB"/>
    <w:rsid w:val="009B47F8"/>
    <w:rsid w:val="009B5273"/>
    <w:rsid w:val="009B57E7"/>
    <w:rsid w:val="009B5C55"/>
    <w:rsid w:val="009B6234"/>
    <w:rsid w:val="009B6573"/>
    <w:rsid w:val="009B6816"/>
    <w:rsid w:val="009B6AA9"/>
    <w:rsid w:val="009B7056"/>
    <w:rsid w:val="009B7A8B"/>
    <w:rsid w:val="009B7B76"/>
    <w:rsid w:val="009C0FB4"/>
    <w:rsid w:val="009C203C"/>
    <w:rsid w:val="009C22C3"/>
    <w:rsid w:val="009C3204"/>
    <w:rsid w:val="009C32AE"/>
    <w:rsid w:val="009C35B8"/>
    <w:rsid w:val="009C3EED"/>
    <w:rsid w:val="009C4251"/>
    <w:rsid w:val="009C4332"/>
    <w:rsid w:val="009C5F9F"/>
    <w:rsid w:val="009C60D7"/>
    <w:rsid w:val="009C6328"/>
    <w:rsid w:val="009C6DB7"/>
    <w:rsid w:val="009C7221"/>
    <w:rsid w:val="009C75BF"/>
    <w:rsid w:val="009C75D4"/>
    <w:rsid w:val="009C77E5"/>
    <w:rsid w:val="009C78CF"/>
    <w:rsid w:val="009C7BB9"/>
    <w:rsid w:val="009C7F35"/>
    <w:rsid w:val="009D0080"/>
    <w:rsid w:val="009D10C3"/>
    <w:rsid w:val="009D128E"/>
    <w:rsid w:val="009D1E04"/>
    <w:rsid w:val="009D2DE1"/>
    <w:rsid w:val="009D4204"/>
    <w:rsid w:val="009D49F0"/>
    <w:rsid w:val="009D56E1"/>
    <w:rsid w:val="009D590B"/>
    <w:rsid w:val="009D5ECE"/>
    <w:rsid w:val="009D6426"/>
    <w:rsid w:val="009D70BF"/>
    <w:rsid w:val="009D7859"/>
    <w:rsid w:val="009E0358"/>
    <w:rsid w:val="009E03BC"/>
    <w:rsid w:val="009E0876"/>
    <w:rsid w:val="009E0E6C"/>
    <w:rsid w:val="009E135C"/>
    <w:rsid w:val="009E137A"/>
    <w:rsid w:val="009E2921"/>
    <w:rsid w:val="009E3850"/>
    <w:rsid w:val="009E3C5D"/>
    <w:rsid w:val="009E4234"/>
    <w:rsid w:val="009E4488"/>
    <w:rsid w:val="009E4883"/>
    <w:rsid w:val="009E500E"/>
    <w:rsid w:val="009E51A8"/>
    <w:rsid w:val="009E571A"/>
    <w:rsid w:val="009E5BEA"/>
    <w:rsid w:val="009E5D6E"/>
    <w:rsid w:val="009E66DE"/>
    <w:rsid w:val="009E66E8"/>
    <w:rsid w:val="009E684A"/>
    <w:rsid w:val="009E7A79"/>
    <w:rsid w:val="009E7CFE"/>
    <w:rsid w:val="009F0246"/>
    <w:rsid w:val="009F0F87"/>
    <w:rsid w:val="009F14E0"/>
    <w:rsid w:val="009F2663"/>
    <w:rsid w:val="009F3930"/>
    <w:rsid w:val="009F3BA6"/>
    <w:rsid w:val="009F3BA8"/>
    <w:rsid w:val="009F4595"/>
    <w:rsid w:val="009F4A3D"/>
    <w:rsid w:val="009F4B69"/>
    <w:rsid w:val="009F52E5"/>
    <w:rsid w:val="009F53E9"/>
    <w:rsid w:val="009F5687"/>
    <w:rsid w:val="009F58F9"/>
    <w:rsid w:val="009F5E8D"/>
    <w:rsid w:val="009F64E6"/>
    <w:rsid w:val="009F66B1"/>
    <w:rsid w:val="009F6FE9"/>
    <w:rsid w:val="009F736B"/>
    <w:rsid w:val="009F7479"/>
    <w:rsid w:val="009F7AD7"/>
    <w:rsid w:val="009F7B1B"/>
    <w:rsid w:val="009F7CD3"/>
    <w:rsid w:val="009F7CFD"/>
    <w:rsid w:val="009F7FF9"/>
    <w:rsid w:val="00A001AD"/>
    <w:rsid w:val="00A00566"/>
    <w:rsid w:val="00A00AC8"/>
    <w:rsid w:val="00A01657"/>
    <w:rsid w:val="00A01C18"/>
    <w:rsid w:val="00A01C22"/>
    <w:rsid w:val="00A01F15"/>
    <w:rsid w:val="00A02682"/>
    <w:rsid w:val="00A02BE2"/>
    <w:rsid w:val="00A03035"/>
    <w:rsid w:val="00A03235"/>
    <w:rsid w:val="00A03446"/>
    <w:rsid w:val="00A040B8"/>
    <w:rsid w:val="00A0420F"/>
    <w:rsid w:val="00A050D0"/>
    <w:rsid w:val="00A055A6"/>
    <w:rsid w:val="00A055F3"/>
    <w:rsid w:val="00A05648"/>
    <w:rsid w:val="00A057D7"/>
    <w:rsid w:val="00A07062"/>
    <w:rsid w:val="00A07C05"/>
    <w:rsid w:val="00A107C0"/>
    <w:rsid w:val="00A10A8B"/>
    <w:rsid w:val="00A10DF8"/>
    <w:rsid w:val="00A10E2A"/>
    <w:rsid w:val="00A10E5B"/>
    <w:rsid w:val="00A11507"/>
    <w:rsid w:val="00A11901"/>
    <w:rsid w:val="00A12085"/>
    <w:rsid w:val="00A12A9C"/>
    <w:rsid w:val="00A133B3"/>
    <w:rsid w:val="00A13A73"/>
    <w:rsid w:val="00A13D31"/>
    <w:rsid w:val="00A14260"/>
    <w:rsid w:val="00A169A9"/>
    <w:rsid w:val="00A16B34"/>
    <w:rsid w:val="00A16F64"/>
    <w:rsid w:val="00A16FFC"/>
    <w:rsid w:val="00A17243"/>
    <w:rsid w:val="00A17727"/>
    <w:rsid w:val="00A21345"/>
    <w:rsid w:val="00A21EE2"/>
    <w:rsid w:val="00A222A5"/>
    <w:rsid w:val="00A224A3"/>
    <w:rsid w:val="00A22A07"/>
    <w:rsid w:val="00A22CA5"/>
    <w:rsid w:val="00A23D6A"/>
    <w:rsid w:val="00A23EBE"/>
    <w:rsid w:val="00A2435F"/>
    <w:rsid w:val="00A244EC"/>
    <w:rsid w:val="00A246B2"/>
    <w:rsid w:val="00A252EE"/>
    <w:rsid w:val="00A25D0D"/>
    <w:rsid w:val="00A260A5"/>
    <w:rsid w:val="00A26896"/>
    <w:rsid w:val="00A274EE"/>
    <w:rsid w:val="00A2796E"/>
    <w:rsid w:val="00A27AB7"/>
    <w:rsid w:val="00A27B64"/>
    <w:rsid w:val="00A304AB"/>
    <w:rsid w:val="00A30ED2"/>
    <w:rsid w:val="00A3163F"/>
    <w:rsid w:val="00A32066"/>
    <w:rsid w:val="00A32828"/>
    <w:rsid w:val="00A32C41"/>
    <w:rsid w:val="00A33259"/>
    <w:rsid w:val="00A338FC"/>
    <w:rsid w:val="00A33C4A"/>
    <w:rsid w:val="00A340DC"/>
    <w:rsid w:val="00A34570"/>
    <w:rsid w:val="00A34797"/>
    <w:rsid w:val="00A34D79"/>
    <w:rsid w:val="00A34F51"/>
    <w:rsid w:val="00A35AF3"/>
    <w:rsid w:val="00A35B76"/>
    <w:rsid w:val="00A365AE"/>
    <w:rsid w:val="00A37218"/>
    <w:rsid w:val="00A3781F"/>
    <w:rsid w:val="00A37898"/>
    <w:rsid w:val="00A37F88"/>
    <w:rsid w:val="00A37FF9"/>
    <w:rsid w:val="00A4275F"/>
    <w:rsid w:val="00A42C4C"/>
    <w:rsid w:val="00A42D0D"/>
    <w:rsid w:val="00A42E3C"/>
    <w:rsid w:val="00A42F32"/>
    <w:rsid w:val="00A431EB"/>
    <w:rsid w:val="00A43382"/>
    <w:rsid w:val="00A4382B"/>
    <w:rsid w:val="00A44871"/>
    <w:rsid w:val="00A4548B"/>
    <w:rsid w:val="00A4593D"/>
    <w:rsid w:val="00A45B53"/>
    <w:rsid w:val="00A45CBB"/>
    <w:rsid w:val="00A46AE3"/>
    <w:rsid w:val="00A46B70"/>
    <w:rsid w:val="00A470D9"/>
    <w:rsid w:val="00A470E2"/>
    <w:rsid w:val="00A47977"/>
    <w:rsid w:val="00A47C25"/>
    <w:rsid w:val="00A47F5F"/>
    <w:rsid w:val="00A504E9"/>
    <w:rsid w:val="00A507E9"/>
    <w:rsid w:val="00A50888"/>
    <w:rsid w:val="00A512DE"/>
    <w:rsid w:val="00A51A21"/>
    <w:rsid w:val="00A51BAA"/>
    <w:rsid w:val="00A52011"/>
    <w:rsid w:val="00A522EC"/>
    <w:rsid w:val="00A5236E"/>
    <w:rsid w:val="00A52437"/>
    <w:rsid w:val="00A52484"/>
    <w:rsid w:val="00A536F7"/>
    <w:rsid w:val="00A53BD6"/>
    <w:rsid w:val="00A54597"/>
    <w:rsid w:val="00A54A6A"/>
    <w:rsid w:val="00A55C8A"/>
    <w:rsid w:val="00A55CDD"/>
    <w:rsid w:val="00A56487"/>
    <w:rsid w:val="00A565BE"/>
    <w:rsid w:val="00A56EFE"/>
    <w:rsid w:val="00A57484"/>
    <w:rsid w:val="00A57B84"/>
    <w:rsid w:val="00A57E7B"/>
    <w:rsid w:val="00A603BA"/>
    <w:rsid w:val="00A607E0"/>
    <w:rsid w:val="00A60BCB"/>
    <w:rsid w:val="00A61546"/>
    <w:rsid w:val="00A61C71"/>
    <w:rsid w:val="00A621AA"/>
    <w:rsid w:val="00A62959"/>
    <w:rsid w:val="00A62B0F"/>
    <w:rsid w:val="00A63123"/>
    <w:rsid w:val="00A63238"/>
    <w:rsid w:val="00A63844"/>
    <w:rsid w:val="00A63941"/>
    <w:rsid w:val="00A639A1"/>
    <w:rsid w:val="00A63A61"/>
    <w:rsid w:val="00A64257"/>
    <w:rsid w:val="00A6432F"/>
    <w:rsid w:val="00A64A0F"/>
    <w:rsid w:val="00A64FDD"/>
    <w:rsid w:val="00A65A8A"/>
    <w:rsid w:val="00A65E07"/>
    <w:rsid w:val="00A65F0E"/>
    <w:rsid w:val="00A65F1E"/>
    <w:rsid w:val="00A66588"/>
    <w:rsid w:val="00A66C45"/>
    <w:rsid w:val="00A66DE2"/>
    <w:rsid w:val="00A67007"/>
    <w:rsid w:val="00A707DE"/>
    <w:rsid w:val="00A708B2"/>
    <w:rsid w:val="00A71253"/>
    <w:rsid w:val="00A71265"/>
    <w:rsid w:val="00A72759"/>
    <w:rsid w:val="00A72828"/>
    <w:rsid w:val="00A72989"/>
    <w:rsid w:val="00A734D9"/>
    <w:rsid w:val="00A73CA3"/>
    <w:rsid w:val="00A74147"/>
    <w:rsid w:val="00A74883"/>
    <w:rsid w:val="00A7524A"/>
    <w:rsid w:val="00A75403"/>
    <w:rsid w:val="00A75E15"/>
    <w:rsid w:val="00A7688A"/>
    <w:rsid w:val="00A768C0"/>
    <w:rsid w:val="00A769B7"/>
    <w:rsid w:val="00A77528"/>
    <w:rsid w:val="00A77F80"/>
    <w:rsid w:val="00A800ED"/>
    <w:rsid w:val="00A80CA8"/>
    <w:rsid w:val="00A80E5D"/>
    <w:rsid w:val="00A818E9"/>
    <w:rsid w:val="00A81DF5"/>
    <w:rsid w:val="00A82822"/>
    <w:rsid w:val="00A82C14"/>
    <w:rsid w:val="00A83118"/>
    <w:rsid w:val="00A8347B"/>
    <w:rsid w:val="00A835CB"/>
    <w:rsid w:val="00A83BB3"/>
    <w:rsid w:val="00A83C5B"/>
    <w:rsid w:val="00A843AD"/>
    <w:rsid w:val="00A84795"/>
    <w:rsid w:val="00A85505"/>
    <w:rsid w:val="00A856CC"/>
    <w:rsid w:val="00A870C2"/>
    <w:rsid w:val="00A87449"/>
    <w:rsid w:val="00A8786B"/>
    <w:rsid w:val="00A87902"/>
    <w:rsid w:val="00A90A69"/>
    <w:rsid w:val="00A911BA"/>
    <w:rsid w:val="00A9263B"/>
    <w:rsid w:val="00A93474"/>
    <w:rsid w:val="00A95080"/>
    <w:rsid w:val="00A95512"/>
    <w:rsid w:val="00A95515"/>
    <w:rsid w:val="00A96417"/>
    <w:rsid w:val="00A96DF0"/>
    <w:rsid w:val="00A96ED6"/>
    <w:rsid w:val="00A96FE9"/>
    <w:rsid w:val="00A9752B"/>
    <w:rsid w:val="00A977E8"/>
    <w:rsid w:val="00AA000D"/>
    <w:rsid w:val="00AA0195"/>
    <w:rsid w:val="00AA0413"/>
    <w:rsid w:val="00AA04D2"/>
    <w:rsid w:val="00AA056E"/>
    <w:rsid w:val="00AA07AB"/>
    <w:rsid w:val="00AA08FB"/>
    <w:rsid w:val="00AA099A"/>
    <w:rsid w:val="00AA0FDB"/>
    <w:rsid w:val="00AA1200"/>
    <w:rsid w:val="00AA17CD"/>
    <w:rsid w:val="00AA17EE"/>
    <w:rsid w:val="00AA1CB4"/>
    <w:rsid w:val="00AA204F"/>
    <w:rsid w:val="00AA211E"/>
    <w:rsid w:val="00AA33CC"/>
    <w:rsid w:val="00AA37A5"/>
    <w:rsid w:val="00AA42BF"/>
    <w:rsid w:val="00AA4467"/>
    <w:rsid w:val="00AA4547"/>
    <w:rsid w:val="00AA59DB"/>
    <w:rsid w:val="00AA663C"/>
    <w:rsid w:val="00AA69E1"/>
    <w:rsid w:val="00AA6BA4"/>
    <w:rsid w:val="00AA7317"/>
    <w:rsid w:val="00AB048F"/>
    <w:rsid w:val="00AB0D23"/>
    <w:rsid w:val="00AB0FED"/>
    <w:rsid w:val="00AB11DC"/>
    <w:rsid w:val="00AB1719"/>
    <w:rsid w:val="00AB239A"/>
    <w:rsid w:val="00AB26AC"/>
    <w:rsid w:val="00AB2B4A"/>
    <w:rsid w:val="00AB2B78"/>
    <w:rsid w:val="00AB34F4"/>
    <w:rsid w:val="00AB361C"/>
    <w:rsid w:val="00AB4286"/>
    <w:rsid w:val="00AB4617"/>
    <w:rsid w:val="00AB4AEB"/>
    <w:rsid w:val="00AB4F9E"/>
    <w:rsid w:val="00AB5412"/>
    <w:rsid w:val="00AB792F"/>
    <w:rsid w:val="00AC02C4"/>
    <w:rsid w:val="00AC1028"/>
    <w:rsid w:val="00AC1A3C"/>
    <w:rsid w:val="00AC1A6F"/>
    <w:rsid w:val="00AC1BDD"/>
    <w:rsid w:val="00AC2CD8"/>
    <w:rsid w:val="00AC2F77"/>
    <w:rsid w:val="00AC30B7"/>
    <w:rsid w:val="00AC336D"/>
    <w:rsid w:val="00AC34C8"/>
    <w:rsid w:val="00AC3646"/>
    <w:rsid w:val="00AC36AF"/>
    <w:rsid w:val="00AC5239"/>
    <w:rsid w:val="00AC52AF"/>
    <w:rsid w:val="00AC557A"/>
    <w:rsid w:val="00AC5CFD"/>
    <w:rsid w:val="00AC61E7"/>
    <w:rsid w:val="00AC6A75"/>
    <w:rsid w:val="00AC7316"/>
    <w:rsid w:val="00AC7874"/>
    <w:rsid w:val="00AC78E9"/>
    <w:rsid w:val="00AC7BB3"/>
    <w:rsid w:val="00AD0641"/>
    <w:rsid w:val="00AD1A89"/>
    <w:rsid w:val="00AD351F"/>
    <w:rsid w:val="00AD48B0"/>
    <w:rsid w:val="00AD546F"/>
    <w:rsid w:val="00AD58B5"/>
    <w:rsid w:val="00AD58CD"/>
    <w:rsid w:val="00AD5C03"/>
    <w:rsid w:val="00AD6368"/>
    <w:rsid w:val="00AD65DF"/>
    <w:rsid w:val="00AD68D6"/>
    <w:rsid w:val="00AD6937"/>
    <w:rsid w:val="00AD7383"/>
    <w:rsid w:val="00AD755A"/>
    <w:rsid w:val="00AD7794"/>
    <w:rsid w:val="00AD77DC"/>
    <w:rsid w:val="00AE138E"/>
    <w:rsid w:val="00AE14DD"/>
    <w:rsid w:val="00AE1D25"/>
    <w:rsid w:val="00AE1F49"/>
    <w:rsid w:val="00AE35C3"/>
    <w:rsid w:val="00AE3605"/>
    <w:rsid w:val="00AE3B04"/>
    <w:rsid w:val="00AE3C3C"/>
    <w:rsid w:val="00AE3FA7"/>
    <w:rsid w:val="00AE446A"/>
    <w:rsid w:val="00AE4B99"/>
    <w:rsid w:val="00AE5406"/>
    <w:rsid w:val="00AE5445"/>
    <w:rsid w:val="00AE556B"/>
    <w:rsid w:val="00AE6112"/>
    <w:rsid w:val="00AE62E0"/>
    <w:rsid w:val="00AE6AEB"/>
    <w:rsid w:val="00AE756A"/>
    <w:rsid w:val="00AE7BA0"/>
    <w:rsid w:val="00AE7EBD"/>
    <w:rsid w:val="00AE7EF1"/>
    <w:rsid w:val="00AF0996"/>
    <w:rsid w:val="00AF1095"/>
    <w:rsid w:val="00AF122E"/>
    <w:rsid w:val="00AF12A1"/>
    <w:rsid w:val="00AF179C"/>
    <w:rsid w:val="00AF1A3D"/>
    <w:rsid w:val="00AF241F"/>
    <w:rsid w:val="00AF25FD"/>
    <w:rsid w:val="00AF288D"/>
    <w:rsid w:val="00AF2DD2"/>
    <w:rsid w:val="00AF2F56"/>
    <w:rsid w:val="00AF3203"/>
    <w:rsid w:val="00AF40B7"/>
    <w:rsid w:val="00AF4484"/>
    <w:rsid w:val="00AF64ED"/>
    <w:rsid w:val="00AF78DD"/>
    <w:rsid w:val="00AF7B5E"/>
    <w:rsid w:val="00AF7E9C"/>
    <w:rsid w:val="00B010C0"/>
    <w:rsid w:val="00B01664"/>
    <w:rsid w:val="00B016FE"/>
    <w:rsid w:val="00B02314"/>
    <w:rsid w:val="00B0274C"/>
    <w:rsid w:val="00B02953"/>
    <w:rsid w:val="00B036A7"/>
    <w:rsid w:val="00B03883"/>
    <w:rsid w:val="00B03DDB"/>
    <w:rsid w:val="00B043ED"/>
    <w:rsid w:val="00B04FB2"/>
    <w:rsid w:val="00B05545"/>
    <w:rsid w:val="00B05918"/>
    <w:rsid w:val="00B05F1B"/>
    <w:rsid w:val="00B05F22"/>
    <w:rsid w:val="00B05FB5"/>
    <w:rsid w:val="00B063F1"/>
    <w:rsid w:val="00B06E54"/>
    <w:rsid w:val="00B0768F"/>
    <w:rsid w:val="00B10929"/>
    <w:rsid w:val="00B12A75"/>
    <w:rsid w:val="00B1345A"/>
    <w:rsid w:val="00B13EA6"/>
    <w:rsid w:val="00B14240"/>
    <w:rsid w:val="00B14279"/>
    <w:rsid w:val="00B14D8C"/>
    <w:rsid w:val="00B14F06"/>
    <w:rsid w:val="00B159E3"/>
    <w:rsid w:val="00B15D72"/>
    <w:rsid w:val="00B1634A"/>
    <w:rsid w:val="00B1659D"/>
    <w:rsid w:val="00B16696"/>
    <w:rsid w:val="00B166C4"/>
    <w:rsid w:val="00B16A1B"/>
    <w:rsid w:val="00B16CB8"/>
    <w:rsid w:val="00B16E89"/>
    <w:rsid w:val="00B17674"/>
    <w:rsid w:val="00B17D2E"/>
    <w:rsid w:val="00B20890"/>
    <w:rsid w:val="00B2090D"/>
    <w:rsid w:val="00B214AB"/>
    <w:rsid w:val="00B215C6"/>
    <w:rsid w:val="00B21CC5"/>
    <w:rsid w:val="00B220A9"/>
    <w:rsid w:val="00B221E5"/>
    <w:rsid w:val="00B23230"/>
    <w:rsid w:val="00B2336C"/>
    <w:rsid w:val="00B238A9"/>
    <w:rsid w:val="00B23F36"/>
    <w:rsid w:val="00B24B6A"/>
    <w:rsid w:val="00B255B4"/>
    <w:rsid w:val="00B2576C"/>
    <w:rsid w:val="00B2591A"/>
    <w:rsid w:val="00B2605B"/>
    <w:rsid w:val="00B262FB"/>
    <w:rsid w:val="00B265B7"/>
    <w:rsid w:val="00B266B2"/>
    <w:rsid w:val="00B26AAA"/>
    <w:rsid w:val="00B26E91"/>
    <w:rsid w:val="00B275AB"/>
    <w:rsid w:val="00B30351"/>
    <w:rsid w:val="00B30511"/>
    <w:rsid w:val="00B3092C"/>
    <w:rsid w:val="00B30A45"/>
    <w:rsid w:val="00B30DB0"/>
    <w:rsid w:val="00B30FC4"/>
    <w:rsid w:val="00B31165"/>
    <w:rsid w:val="00B31640"/>
    <w:rsid w:val="00B3173D"/>
    <w:rsid w:val="00B31966"/>
    <w:rsid w:val="00B32289"/>
    <w:rsid w:val="00B33013"/>
    <w:rsid w:val="00B33407"/>
    <w:rsid w:val="00B33C11"/>
    <w:rsid w:val="00B344E3"/>
    <w:rsid w:val="00B347B5"/>
    <w:rsid w:val="00B34901"/>
    <w:rsid w:val="00B34B07"/>
    <w:rsid w:val="00B354E6"/>
    <w:rsid w:val="00B35C22"/>
    <w:rsid w:val="00B37C10"/>
    <w:rsid w:val="00B40343"/>
    <w:rsid w:val="00B40DCC"/>
    <w:rsid w:val="00B411B4"/>
    <w:rsid w:val="00B41D2D"/>
    <w:rsid w:val="00B4297E"/>
    <w:rsid w:val="00B42AE7"/>
    <w:rsid w:val="00B4304B"/>
    <w:rsid w:val="00B44589"/>
    <w:rsid w:val="00B45D95"/>
    <w:rsid w:val="00B461BD"/>
    <w:rsid w:val="00B46631"/>
    <w:rsid w:val="00B46807"/>
    <w:rsid w:val="00B468E5"/>
    <w:rsid w:val="00B46D34"/>
    <w:rsid w:val="00B46F01"/>
    <w:rsid w:val="00B46FEB"/>
    <w:rsid w:val="00B47C03"/>
    <w:rsid w:val="00B47FA6"/>
    <w:rsid w:val="00B50670"/>
    <w:rsid w:val="00B50976"/>
    <w:rsid w:val="00B50EF3"/>
    <w:rsid w:val="00B51651"/>
    <w:rsid w:val="00B51C72"/>
    <w:rsid w:val="00B51F27"/>
    <w:rsid w:val="00B5224D"/>
    <w:rsid w:val="00B5279A"/>
    <w:rsid w:val="00B52BB1"/>
    <w:rsid w:val="00B52EB0"/>
    <w:rsid w:val="00B52FCE"/>
    <w:rsid w:val="00B536F2"/>
    <w:rsid w:val="00B54092"/>
    <w:rsid w:val="00B55199"/>
    <w:rsid w:val="00B554D8"/>
    <w:rsid w:val="00B55963"/>
    <w:rsid w:val="00B55CD7"/>
    <w:rsid w:val="00B56FAE"/>
    <w:rsid w:val="00B57F5C"/>
    <w:rsid w:val="00B60268"/>
    <w:rsid w:val="00B6080E"/>
    <w:rsid w:val="00B60CB4"/>
    <w:rsid w:val="00B619BF"/>
    <w:rsid w:val="00B627A4"/>
    <w:rsid w:val="00B62E47"/>
    <w:rsid w:val="00B633F6"/>
    <w:rsid w:val="00B6392F"/>
    <w:rsid w:val="00B63973"/>
    <w:rsid w:val="00B63AFF"/>
    <w:rsid w:val="00B6452D"/>
    <w:rsid w:val="00B64892"/>
    <w:rsid w:val="00B64B73"/>
    <w:rsid w:val="00B65AAD"/>
    <w:rsid w:val="00B66054"/>
    <w:rsid w:val="00B662ED"/>
    <w:rsid w:val="00B66718"/>
    <w:rsid w:val="00B71363"/>
    <w:rsid w:val="00B714F2"/>
    <w:rsid w:val="00B71850"/>
    <w:rsid w:val="00B72881"/>
    <w:rsid w:val="00B72F95"/>
    <w:rsid w:val="00B73A56"/>
    <w:rsid w:val="00B74337"/>
    <w:rsid w:val="00B7586F"/>
    <w:rsid w:val="00B75B19"/>
    <w:rsid w:val="00B75EAF"/>
    <w:rsid w:val="00B75F57"/>
    <w:rsid w:val="00B8258D"/>
    <w:rsid w:val="00B83444"/>
    <w:rsid w:val="00B83A35"/>
    <w:rsid w:val="00B83F97"/>
    <w:rsid w:val="00B8497B"/>
    <w:rsid w:val="00B8505D"/>
    <w:rsid w:val="00B85B39"/>
    <w:rsid w:val="00B86B1B"/>
    <w:rsid w:val="00B87A38"/>
    <w:rsid w:val="00B9069B"/>
    <w:rsid w:val="00B91267"/>
    <w:rsid w:val="00B912A7"/>
    <w:rsid w:val="00B920B9"/>
    <w:rsid w:val="00B925FA"/>
    <w:rsid w:val="00B92F2E"/>
    <w:rsid w:val="00B93373"/>
    <w:rsid w:val="00B93443"/>
    <w:rsid w:val="00B93694"/>
    <w:rsid w:val="00B93732"/>
    <w:rsid w:val="00B94259"/>
    <w:rsid w:val="00B948A4"/>
    <w:rsid w:val="00B94D31"/>
    <w:rsid w:val="00B950D5"/>
    <w:rsid w:val="00B954B2"/>
    <w:rsid w:val="00B956C4"/>
    <w:rsid w:val="00B95CAB"/>
    <w:rsid w:val="00B962EA"/>
    <w:rsid w:val="00B96923"/>
    <w:rsid w:val="00B96AEA"/>
    <w:rsid w:val="00B9750A"/>
    <w:rsid w:val="00B97908"/>
    <w:rsid w:val="00B979B8"/>
    <w:rsid w:val="00BA0808"/>
    <w:rsid w:val="00BA24DD"/>
    <w:rsid w:val="00BA25C9"/>
    <w:rsid w:val="00BA322C"/>
    <w:rsid w:val="00BA3710"/>
    <w:rsid w:val="00BA3958"/>
    <w:rsid w:val="00BA3F75"/>
    <w:rsid w:val="00BA43E9"/>
    <w:rsid w:val="00BA5627"/>
    <w:rsid w:val="00BA5805"/>
    <w:rsid w:val="00BA5BCF"/>
    <w:rsid w:val="00BA61B9"/>
    <w:rsid w:val="00BA632B"/>
    <w:rsid w:val="00BA7D1B"/>
    <w:rsid w:val="00BB0DDB"/>
    <w:rsid w:val="00BB0FA6"/>
    <w:rsid w:val="00BB125B"/>
    <w:rsid w:val="00BB13A3"/>
    <w:rsid w:val="00BB148D"/>
    <w:rsid w:val="00BB15F5"/>
    <w:rsid w:val="00BB1990"/>
    <w:rsid w:val="00BB1A44"/>
    <w:rsid w:val="00BB2B34"/>
    <w:rsid w:val="00BB2E3E"/>
    <w:rsid w:val="00BB2F19"/>
    <w:rsid w:val="00BB3180"/>
    <w:rsid w:val="00BB3A03"/>
    <w:rsid w:val="00BB3B05"/>
    <w:rsid w:val="00BB40BC"/>
    <w:rsid w:val="00BB4BD9"/>
    <w:rsid w:val="00BB540B"/>
    <w:rsid w:val="00BB59B4"/>
    <w:rsid w:val="00BB5EA5"/>
    <w:rsid w:val="00BB62AB"/>
    <w:rsid w:val="00BB69A6"/>
    <w:rsid w:val="00BB6A21"/>
    <w:rsid w:val="00BB6A6A"/>
    <w:rsid w:val="00BB6F30"/>
    <w:rsid w:val="00BB752A"/>
    <w:rsid w:val="00BB7A88"/>
    <w:rsid w:val="00BB7E6B"/>
    <w:rsid w:val="00BC0452"/>
    <w:rsid w:val="00BC128B"/>
    <w:rsid w:val="00BC12E3"/>
    <w:rsid w:val="00BC2A0C"/>
    <w:rsid w:val="00BC2D3E"/>
    <w:rsid w:val="00BC3432"/>
    <w:rsid w:val="00BC3D6F"/>
    <w:rsid w:val="00BC3DDF"/>
    <w:rsid w:val="00BC453E"/>
    <w:rsid w:val="00BC47DE"/>
    <w:rsid w:val="00BC4EC8"/>
    <w:rsid w:val="00BC617B"/>
    <w:rsid w:val="00BC618C"/>
    <w:rsid w:val="00BC663A"/>
    <w:rsid w:val="00BC777E"/>
    <w:rsid w:val="00BD0251"/>
    <w:rsid w:val="00BD0A4C"/>
    <w:rsid w:val="00BD19EE"/>
    <w:rsid w:val="00BD1CAB"/>
    <w:rsid w:val="00BD2D45"/>
    <w:rsid w:val="00BD2D50"/>
    <w:rsid w:val="00BD390F"/>
    <w:rsid w:val="00BD3EDF"/>
    <w:rsid w:val="00BD48A1"/>
    <w:rsid w:val="00BD61B8"/>
    <w:rsid w:val="00BD65AC"/>
    <w:rsid w:val="00BD688C"/>
    <w:rsid w:val="00BD6CA9"/>
    <w:rsid w:val="00BD7009"/>
    <w:rsid w:val="00BD7A39"/>
    <w:rsid w:val="00BD7EA1"/>
    <w:rsid w:val="00BE015F"/>
    <w:rsid w:val="00BE0955"/>
    <w:rsid w:val="00BE09F4"/>
    <w:rsid w:val="00BE1961"/>
    <w:rsid w:val="00BE1E39"/>
    <w:rsid w:val="00BE20E7"/>
    <w:rsid w:val="00BE29CC"/>
    <w:rsid w:val="00BE29EB"/>
    <w:rsid w:val="00BE2A38"/>
    <w:rsid w:val="00BE30BE"/>
    <w:rsid w:val="00BE36A1"/>
    <w:rsid w:val="00BE3907"/>
    <w:rsid w:val="00BE399E"/>
    <w:rsid w:val="00BE5AFC"/>
    <w:rsid w:val="00BE5C92"/>
    <w:rsid w:val="00BE636B"/>
    <w:rsid w:val="00BE664F"/>
    <w:rsid w:val="00BE6EC4"/>
    <w:rsid w:val="00BE7EFC"/>
    <w:rsid w:val="00BF0741"/>
    <w:rsid w:val="00BF0C4F"/>
    <w:rsid w:val="00BF257A"/>
    <w:rsid w:val="00BF2612"/>
    <w:rsid w:val="00BF3638"/>
    <w:rsid w:val="00BF460A"/>
    <w:rsid w:val="00BF469D"/>
    <w:rsid w:val="00BF4C9D"/>
    <w:rsid w:val="00BF4D60"/>
    <w:rsid w:val="00BF4E2C"/>
    <w:rsid w:val="00BF4E6E"/>
    <w:rsid w:val="00BF679F"/>
    <w:rsid w:val="00BF6AA7"/>
    <w:rsid w:val="00BF6AB0"/>
    <w:rsid w:val="00BF6E45"/>
    <w:rsid w:val="00BF74C4"/>
    <w:rsid w:val="00BF7ADA"/>
    <w:rsid w:val="00BF7F15"/>
    <w:rsid w:val="00C001CC"/>
    <w:rsid w:val="00C02309"/>
    <w:rsid w:val="00C04317"/>
    <w:rsid w:val="00C04CC8"/>
    <w:rsid w:val="00C04FBB"/>
    <w:rsid w:val="00C050D9"/>
    <w:rsid w:val="00C053B4"/>
    <w:rsid w:val="00C054AF"/>
    <w:rsid w:val="00C0582F"/>
    <w:rsid w:val="00C0587F"/>
    <w:rsid w:val="00C05DB2"/>
    <w:rsid w:val="00C05F2F"/>
    <w:rsid w:val="00C05F5A"/>
    <w:rsid w:val="00C067B3"/>
    <w:rsid w:val="00C06FAA"/>
    <w:rsid w:val="00C10378"/>
    <w:rsid w:val="00C1048A"/>
    <w:rsid w:val="00C1067E"/>
    <w:rsid w:val="00C11099"/>
    <w:rsid w:val="00C11895"/>
    <w:rsid w:val="00C11CA2"/>
    <w:rsid w:val="00C120AE"/>
    <w:rsid w:val="00C122E5"/>
    <w:rsid w:val="00C123C8"/>
    <w:rsid w:val="00C12520"/>
    <w:rsid w:val="00C1368D"/>
    <w:rsid w:val="00C13AEE"/>
    <w:rsid w:val="00C13B8E"/>
    <w:rsid w:val="00C147DF"/>
    <w:rsid w:val="00C14CAF"/>
    <w:rsid w:val="00C14D26"/>
    <w:rsid w:val="00C14F71"/>
    <w:rsid w:val="00C152B4"/>
    <w:rsid w:val="00C156F3"/>
    <w:rsid w:val="00C15ADE"/>
    <w:rsid w:val="00C164D9"/>
    <w:rsid w:val="00C16B9A"/>
    <w:rsid w:val="00C16C04"/>
    <w:rsid w:val="00C16F09"/>
    <w:rsid w:val="00C1784B"/>
    <w:rsid w:val="00C20307"/>
    <w:rsid w:val="00C203FD"/>
    <w:rsid w:val="00C208CA"/>
    <w:rsid w:val="00C20AE1"/>
    <w:rsid w:val="00C212FC"/>
    <w:rsid w:val="00C2174C"/>
    <w:rsid w:val="00C229EC"/>
    <w:rsid w:val="00C22E7C"/>
    <w:rsid w:val="00C23B69"/>
    <w:rsid w:val="00C2426A"/>
    <w:rsid w:val="00C24880"/>
    <w:rsid w:val="00C24EDD"/>
    <w:rsid w:val="00C2518F"/>
    <w:rsid w:val="00C25983"/>
    <w:rsid w:val="00C25F60"/>
    <w:rsid w:val="00C26630"/>
    <w:rsid w:val="00C27B9C"/>
    <w:rsid w:val="00C27D7F"/>
    <w:rsid w:val="00C27D81"/>
    <w:rsid w:val="00C30944"/>
    <w:rsid w:val="00C31C6C"/>
    <w:rsid w:val="00C31F25"/>
    <w:rsid w:val="00C3208E"/>
    <w:rsid w:val="00C32767"/>
    <w:rsid w:val="00C327F1"/>
    <w:rsid w:val="00C3281C"/>
    <w:rsid w:val="00C330A9"/>
    <w:rsid w:val="00C33132"/>
    <w:rsid w:val="00C33496"/>
    <w:rsid w:val="00C3383C"/>
    <w:rsid w:val="00C33F48"/>
    <w:rsid w:val="00C3510E"/>
    <w:rsid w:val="00C3524C"/>
    <w:rsid w:val="00C36324"/>
    <w:rsid w:val="00C36728"/>
    <w:rsid w:val="00C37FF7"/>
    <w:rsid w:val="00C406E8"/>
    <w:rsid w:val="00C4175C"/>
    <w:rsid w:val="00C41802"/>
    <w:rsid w:val="00C41DF5"/>
    <w:rsid w:val="00C42059"/>
    <w:rsid w:val="00C42826"/>
    <w:rsid w:val="00C42EDD"/>
    <w:rsid w:val="00C437A2"/>
    <w:rsid w:val="00C43E10"/>
    <w:rsid w:val="00C442CD"/>
    <w:rsid w:val="00C445C7"/>
    <w:rsid w:val="00C458B7"/>
    <w:rsid w:val="00C46151"/>
    <w:rsid w:val="00C4680C"/>
    <w:rsid w:val="00C46B86"/>
    <w:rsid w:val="00C46F30"/>
    <w:rsid w:val="00C512C4"/>
    <w:rsid w:val="00C518D1"/>
    <w:rsid w:val="00C5193F"/>
    <w:rsid w:val="00C52379"/>
    <w:rsid w:val="00C53A15"/>
    <w:rsid w:val="00C53E00"/>
    <w:rsid w:val="00C54E3A"/>
    <w:rsid w:val="00C554C8"/>
    <w:rsid w:val="00C55583"/>
    <w:rsid w:val="00C55766"/>
    <w:rsid w:val="00C559A1"/>
    <w:rsid w:val="00C55C06"/>
    <w:rsid w:val="00C55E41"/>
    <w:rsid w:val="00C561A6"/>
    <w:rsid w:val="00C56432"/>
    <w:rsid w:val="00C5745D"/>
    <w:rsid w:val="00C575BA"/>
    <w:rsid w:val="00C576A6"/>
    <w:rsid w:val="00C60E4A"/>
    <w:rsid w:val="00C61FA6"/>
    <w:rsid w:val="00C622BD"/>
    <w:rsid w:val="00C624DE"/>
    <w:rsid w:val="00C6287A"/>
    <w:rsid w:val="00C652C9"/>
    <w:rsid w:val="00C65492"/>
    <w:rsid w:val="00C65EC8"/>
    <w:rsid w:val="00C660F4"/>
    <w:rsid w:val="00C66122"/>
    <w:rsid w:val="00C66C9F"/>
    <w:rsid w:val="00C676BC"/>
    <w:rsid w:val="00C70365"/>
    <w:rsid w:val="00C703D9"/>
    <w:rsid w:val="00C70804"/>
    <w:rsid w:val="00C7121D"/>
    <w:rsid w:val="00C71530"/>
    <w:rsid w:val="00C723C5"/>
    <w:rsid w:val="00C73CB5"/>
    <w:rsid w:val="00C74198"/>
    <w:rsid w:val="00C7439D"/>
    <w:rsid w:val="00C74BBD"/>
    <w:rsid w:val="00C74E6C"/>
    <w:rsid w:val="00C75871"/>
    <w:rsid w:val="00C75924"/>
    <w:rsid w:val="00C759B2"/>
    <w:rsid w:val="00C75C69"/>
    <w:rsid w:val="00C75D85"/>
    <w:rsid w:val="00C76D72"/>
    <w:rsid w:val="00C7748C"/>
    <w:rsid w:val="00C77535"/>
    <w:rsid w:val="00C77563"/>
    <w:rsid w:val="00C776F1"/>
    <w:rsid w:val="00C778B8"/>
    <w:rsid w:val="00C81E74"/>
    <w:rsid w:val="00C8231F"/>
    <w:rsid w:val="00C8242A"/>
    <w:rsid w:val="00C83B13"/>
    <w:rsid w:val="00C85235"/>
    <w:rsid w:val="00C8551A"/>
    <w:rsid w:val="00C8698C"/>
    <w:rsid w:val="00C876BC"/>
    <w:rsid w:val="00C87C9F"/>
    <w:rsid w:val="00C87E32"/>
    <w:rsid w:val="00C87EDD"/>
    <w:rsid w:val="00C90459"/>
    <w:rsid w:val="00C911B1"/>
    <w:rsid w:val="00C92306"/>
    <w:rsid w:val="00C92CA3"/>
    <w:rsid w:val="00C92D5E"/>
    <w:rsid w:val="00C93092"/>
    <w:rsid w:val="00C93DB6"/>
    <w:rsid w:val="00C94237"/>
    <w:rsid w:val="00C94A68"/>
    <w:rsid w:val="00C96614"/>
    <w:rsid w:val="00C968E5"/>
    <w:rsid w:val="00C9755C"/>
    <w:rsid w:val="00C975E8"/>
    <w:rsid w:val="00C977AB"/>
    <w:rsid w:val="00C97B7F"/>
    <w:rsid w:val="00CA06F9"/>
    <w:rsid w:val="00CA0E0A"/>
    <w:rsid w:val="00CA1AEB"/>
    <w:rsid w:val="00CA1D91"/>
    <w:rsid w:val="00CA23EA"/>
    <w:rsid w:val="00CA2674"/>
    <w:rsid w:val="00CA31A7"/>
    <w:rsid w:val="00CA39A8"/>
    <w:rsid w:val="00CA3EE4"/>
    <w:rsid w:val="00CA442C"/>
    <w:rsid w:val="00CA4D95"/>
    <w:rsid w:val="00CA5989"/>
    <w:rsid w:val="00CA5C1B"/>
    <w:rsid w:val="00CA5CDE"/>
    <w:rsid w:val="00CA5E01"/>
    <w:rsid w:val="00CA606A"/>
    <w:rsid w:val="00CA6181"/>
    <w:rsid w:val="00CA6280"/>
    <w:rsid w:val="00CA6B35"/>
    <w:rsid w:val="00CA6C85"/>
    <w:rsid w:val="00CA6E25"/>
    <w:rsid w:val="00CA6F75"/>
    <w:rsid w:val="00CA700E"/>
    <w:rsid w:val="00CA7BC5"/>
    <w:rsid w:val="00CA7E9A"/>
    <w:rsid w:val="00CB014B"/>
    <w:rsid w:val="00CB01AE"/>
    <w:rsid w:val="00CB0494"/>
    <w:rsid w:val="00CB0869"/>
    <w:rsid w:val="00CB0FC6"/>
    <w:rsid w:val="00CB20E7"/>
    <w:rsid w:val="00CB21BD"/>
    <w:rsid w:val="00CB2454"/>
    <w:rsid w:val="00CB25A8"/>
    <w:rsid w:val="00CB2A42"/>
    <w:rsid w:val="00CB450A"/>
    <w:rsid w:val="00CB485B"/>
    <w:rsid w:val="00CB50FC"/>
    <w:rsid w:val="00CB5AA6"/>
    <w:rsid w:val="00CB694E"/>
    <w:rsid w:val="00CB6BD2"/>
    <w:rsid w:val="00CB6C74"/>
    <w:rsid w:val="00CB7A09"/>
    <w:rsid w:val="00CB7A9D"/>
    <w:rsid w:val="00CC115D"/>
    <w:rsid w:val="00CC13E7"/>
    <w:rsid w:val="00CC1A7F"/>
    <w:rsid w:val="00CC2026"/>
    <w:rsid w:val="00CC23CF"/>
    <w:rsid w:val="00CC2D0B"/>
    <w:rsid w:val="00CC312A"/>
    <w:rsid w:val="00CC34D9"/>
    <w:rsid w:val="00CC3558"/>
    <w:rsid w:val="00CC3CC4"/>
    <w:rsid w:val="00CC4DB0"/>
    <w:rsid w:val="00CC4ECA"/>
    <w:rsid w:val="00CC5476"/>
    <w:rsid w:val="00CC549C"/>
    <w:rsid w:val="00CC628F"/>
    <w:rsid w:val="00CC664C"/>
    <w:rsid w:val="00CC68A3"/>
    <w:rsid w:val="00CC7068"/>
    <w:rsid w:val="00CC7A2E"/>
    <w:rsid w:val="00CD0658"/>
    <w:rsid w:val="00CD0825"/>
    <w:rsid w:val="00CD121B"/>
    <w:rsid w:val="00CD12E0"/>
    <w:rsid w:val="00CD1505"/>
    <w:rsid w:val="00CD19FC"/>
    <w:rsid w:val="00CD1EB4"/>
    <w:rsid w:val="00CD2AC1"/>
    <w:rsid w:val="00CD32AE"/>
    <w:rsid w:val="00CD37E6"/>
    <w:rsid w:val="00CD43D1"/>
    <w:rsid w:val="00CD573E"/>
    <w:rsid w:val="00CD6501"/>
    <w:rsid w:val="00CD6B43"/>
    <w:rsid w:val="00CD6C4E"/>
    <w:rsid w:val="00CD6C88"/>
    <w:rsid w:val="00CD6CD3"/>
    <w:rsid w:val="00CD716D"/>
    <w:rsid w:val="00CE0295"/>
    <w:rsid w:val="00CE0CA1"/>
    <w:rsid w:val="00CE0CF1"/>
    <w:rsid w:val="00CE0ED2"/>
    <w:rsid w:val="00CE1A8D"/>
    <w:rsid w:val="00CE1AC0"/>
    <w:rsid w:val="00CE22D3"/>
    <w:rsid w:val="00CE254C"/>
    <w:rsid w:val="00CE2D40"/>
    <w:rsid w:val="00CE2F6C"/>
    <w:rsid w:val="00CE3039"/>
    <w:rsid w:val="00CE3255"/>
    <w:rsid w:val="00CE341B"/>
    <w:rsid w:val="00CE37FA"/>
    <w:rsid w:val="00CE3C51"/>
    <w:rsid w:val="00CE40A6"/>
    <w:rsid w:val="00CE51C1"/>
    <w:rsid w:val="00CE5F6D"/>
    <w:rsid w:val="00CE607C"/>
    <w:rsid w:val="00CE60F1"/>
    <w:rsid w:val="00CE6409"/>
    <w:rsid w:val="00CE6836"/>
    <w:rsid w:val="00CE6FB4"/>
    <w:rsid w:val="00CE7F2E"/>
    <w:rsid w:val="00CF0646"/>
    <w:rsid w:val="00CF14E0"/>
    <w:rsid w:val="00CF1ED0"/>
    <w:rsid w:val="00CF2024"/>
    <w:rsid w:val="00CF216A"/>
    <w:rsid w:val="00CF2655"/>
    <w:rsid w:val="00CF2716"/>
    <w:rsid w:val="00CF2DF3"/>
    <w:rsid w:val="00CF3455"/>
    <w:rsid w:val="00CF42DF"/>
    <w:rsid w:val="00CF48E9"/>
    <w:rsid w:val="00CF49FD"/>
    <w:rsid w:val="00CF50D4"/>
    <w:rsid w:val="00CF6148"/>
    <w:rsid w:val="00CF637B"/>
    <w:rsid w:val="00CF63BE"/>
    <w:rsid w:val="00CF6994"/>
    <w:rsid w:val="00CF6A1D"/>
    <w:rsid w:val="00CF6A26"/>
    <w:rsid w:val="00CF71C3"/>
    <w:rsid w:val="00CF7871"/>
    <w:rsid w:val="00CF7BC9"/>
    <w:rsid w:val="00D000D8"/>
    <w:rsid w:val="00D00152"/>
    <w:rsid w:val="00D01069"/>
    <w:rsid w:val="00D028AC"/>
    <w:rsid w:val="00D02D27"/>
    <w:rsid w:val="00D02D67"/>
    <w:rsid w:val="00D032FE"/>
    <w:rsid w:val="00D03309"/>
    <w:rsid w:val="00D04043"/>
    <w:rsid w:val="00D0434F"/>
    <w:rsid w:val="00D04780"/>
    <w:rsid w:val="00D047B8"/>
    <w:rsid w:val="00D048B3"/>
    <w:rsid w:val="00D05359"/>
    <w:rsid w:val="00D06282"/>
    <w:rsid w:val="00D06A57"/>
    <w:rsid w:val="00D06D41"/>
    <w:rsid w:val="00D10202"/>
    <w:rsid w:val="00D10B55"/>
    <w:rsid w:val="00D10CA3"/>
    <w:rsid w:val="00D10E91"/>
    <w:rsid w:val="00D1187D"/>
    <w:rsid w:val="00D11E59"/>
    <w:rsid w:val="00D12190"/>
    <w:rsid w:val="00D12529"/>
    <w:rsid w:val="00D138E6"/>
    <w:rsid w:val="00D140FE"/>
    <w:rsid w:val="00D148C3"/>
    <w:rsid w:val="00D15E15"/>
    <w:rsid w:val="00D168F5"/>
    <w:rsid w:val="00D16942"/>
    <w:rsid w:val="00D16C81"/>
    <w:rsid w:val="00D16FF9"/>
    <w:rsid w:val="00D17386"/>
    <w:rsid w:val="00D17595"/>
    <w:rsid w:val="00D177C9"/>
    <w:rsid w:val="00D200F1"/>
    <w:rsid w:val="00D201A9"/>
    <w:rsid w:val="00D20398"/>
    <w:rsid w:val="00D2096E"/>
    <w:rsid w:val="00D21742"/>
    <w:rsid w:val="00D22737"/>
    <w:rsid w:val="00D23BEF"/>
    <w:rsid w:val="00D2423F"/>
    <w:rsid w:val="00D24343"/>
    <w:rsid w:val="00D24564"/>
    <w:rsid w:val="00D25361"/>
    <w:rsid w:val="00D25C9B"/>
    <w:rsid w:val="00D25F1F"/>
    <w:rsid w:val="00D267C8"/>
    <w:rsid w:val="00D26C8F"/>
    <w:rsid w:val="00D27859"/>
    <w:rsid w:val="00D279BC"/>
    <w:rsid w:val="00D279DC"/>
    <w:rsid w:val="00D27A93"/>
    <w:rsid w:val="00D27BA1"/>
    <w:rsid w:val="00D27DEB"/>
    <w:rsid w:val="00D307D9"/>
    <w:rsid w:val="00D308BB"/>
    <w:rsid w:val="00D3096B"/>
    <w:rsid w:val="00D31945"/>
    <w:rsid w:val="00D32894"/>
    <w:rsid w:val="00D3357E"/>
    <w:rsid w:val="00D34AAC"/>
    <w:rsid w:val="00D354A3"/>
    <w:rsid w:val="00D355D6"/>
    <w:rsid w:val="00D357AD"/>
    <w:rsid w:val="00D36322"/>
    <w:rsid w:val="00D37771"/>
    <w:rsid w:val="00D406F6"/>
    <w:rsid w:val="00D4099E"/>
    <w:rsid w:val="00D41067"/>
    <w:rsid w:val="00D41FDB"/>
    <w:rsid w:val="00D429D6"/>
    <w:rsid w:val="00D42CC5"/>
    <w:rsid w:val="00D42DDE"/>
    <w:rsid w:val="00D43155"/>
    <w:rsid w:val="00D4399B"/>
    <w:rsid w:val="00D4458A"/>
    <w:rsid w:val="00D4490C"/>
    <w:rsid w:val="00D44960"/>
    <w:rsid w:val="00D44E08"/>
    <w:rsid w:val="00D4525A"/>
    <w:rsid w:val="00D457E2"/>
    <w:rsid w:val="00D4590B"/>
    <w:rsid w:val="00D45D1B"/>
    <w:rsid w:val="00D45D6E"/>
    <w:rsid w:val="00D46914"/>
    <w:rsid w:val="00D47519"/>
    <w:rsid w:val="00D47B06"/>
    <w:rsid w:val="00D5039E"/>
    <w:rsid w:val="00D507EE"/>
    <w:rsid w:val="00D50E62"/>
    <w:rsid w:val="00D51840"/>
    <w:rsid w:val="00D51C67"/>
    <w:rsid w:val="00D51E9E"/>
    <w:rsid w:val="00D51F73"/>
    <w:rsid w:val="00D5208D"/>
    <w:rsid w:val="00D5257D"/>
    <w:rsid w:val="00D52AAD"/>
    <w:rsid w:val="00D54444"/>
    <w:rsid w:val="00D546E8"/>
    <w:rsid w:val="00D54991"/>
    <w:rsid w:val="00D557C2"/>
    <w:rsid w:val="00D55BE8"/>
    <w:rsid w:val="00D55C9B"/>
    <w:rsid w:val="00D55F38"/>
    <w:rsid w:val="00D56AD6"/>
    <w:rsid w:val="00D57461"/>
    <w:rsid w:val="00D6069A"/>
    <w:rsid w:val="00D609F9"/>
    <w:rsid w:val="00D6165E"/>
    <w:rsid w:val="00D61DAB"/>
    <w:rsid w:val="00D6238C"/>
    <w:rsid w:val="00D62B35"/>
    <w:rsid w:val="00D64110"/>
    <w:rsid w:val="00D644D4"/>
    <w:rsid w:val="00D64D3A"/>
    <w:rsid w:val="00D64E29"/>
    <w:rsid w:val="00D64FAD"/>
    <w:rsid w:val="00D65920"/>
    <w:rsid w:val="00D65AD6"/>
    <w:rsid w:val="00D66737"/>
    <w:rsid w:val="00D6680D"/>
    <w:rsid w:val="00D66A2E"/>
    <w:rsid w:val="00D673E8"/>
    <w:rsid w:val="00D67485"/>
    <w:rsid w:val="00D67D16"/>
    <w:rsid w:val="00D67D83"/>
    <w:rsid w:val="00D70259"/>
    <w:rsid w:val="00D708BD"/>
    <w:rsid w:val="00D70920"/>
    <w:rsid w:val="00D715F8"/>
    <w:rsid w:val="00D71CF4"/>
    <w:rsid w:val="00D72557"/>
    <w:rsid w:val="00D729E1"/>
    <w:rsid w:val="00D72BA8"/>
    <w:rsid w:val="00D72BAB"/>
    <w:rsid w:val="00D72FCA"/>
    <w:rsid w:val="00D73D08"/>
    <w:rsid w:val="00D74494"/>
    <w:rsid w:val="00D74B57"/>
    <w:rsid w:val="00D75418"/>
    <w:rsid w:val="00D758E3"/>
    <w:rsid w:val="00D76861"/>
    <w:rsid w:val="00D76FB0"/>
    <w:rsid w:val="00D774EF"/>
    <w:rsid w:val="00D7767C"/>
    <w:rsid w:val="00D8029F"/>
    <w:rsid w:val="00D81A64"/>
    <w:rsid w:val="00D81E81"/>
    <w:rsid w:val="00D82B4B"/>
    <w:rsid w:val="00D835BC"/>
    <w:rsid w:val="00D83E86"/>
    <w:rsid w:val="00D85235"/>
    <w:rsid w:val="00D85790"/>
    <w:rsid w:val="00D85BF3"/>
    <w:rsid w:val="00D85DD6"/>
    <w:rsid w:val="00D86780"/>
    <w:rsid w:val="00D8728D"/>
    <w:rsid w:val="00D87688"/>
    <w:rsid w:val="00D87A92"/>
    <w:rsid w:val="00D87EB0"/>
    <w:rsid w:val="00D9041B"/>
    <w:rsid w:val="00D90592"/>
    <w:rsid w:val="00D90AA8"/>
    <w:rsid w:val="00D910FA"/>
    <w:rsid w:val="00D91140"/>
    <w:rsid w:val="00D91440"/>
    <w:rsid w:val="00D91E7E"/>
    <w:rsid w:val="00D92C81"/>
    <w:rsid w:val="00D9366C"/>
    <w:rsid w:val="00D939E6"/>
    <w:rsid w:val="00D93A70"/>
    <w:rsid w:val="00D93EAA"/>
    <w:rsid w:val="00D94B08"/>
    <w:rsid w:val="00D95271"/>
    <w:rsid w:val="00D9706D"/>
    <w:rsid w:val="00D9771F"/>
    <w:rsid w:val="00D97722"/>
    <w:rsid w:val="00DA03AE"/>
    <w:rsid w:val="00DA0525"/>
    <w:rsid w:val="00DA0621"/>
    <w:rsid w:val="00DA0B26"/>
    <w:rsid w:val="00DA16DD"/>
    <w:rsid w:val="00DA18D3"/>
    <w:rsid w:val="00DA1D33"/>
    <w:rsid w:val="00DA31A4"/>
    <w:rsid w:val="00DA373A"/>
    <w:rsid w:val="00DA3D8F"/>
    <w:rsid w:val="00DA3DD5"/>
    <w:rsid w:val="00DA4E67"/>
    <w:rsid w:val="00DA5471"/>
    <w:rsid w:val="00DA6902"/>
    <w:rsid w:val="00DA734D"/>
    <w:rsid w:val="00DA73EA"/>
    <w:rsid w:val="00DA7693"/>
    <w:rsid w:val="00DB0198"/>
    <w:rsid w:val="00DB03F8"/>
    <w:rsid w:val="00DB13D2"/>
    <w:rsid w:val="00DB18A8"/>
    <w:rsid w:val="00DB22D7"/>
    <w:rsid w:val="00DB298D"/>
    <w:rsid w:val="00DB2B37"/>
    <w:rsid w:val="00DB3796"/>
    <w:rsid w:val="00DB3904"/>
    <w:rsid w:val="00DB3D25"/>
    <w:rsid w:val="00DB4C41"/>
    <w:rsid w:val="00DB5002"/>
    <w:rsid w:val="00DB5567"/>
    <w:rsid w:val="00DB5765"/>
    <w:rsid w:val="00DB580E"/>
    <w:rsid w:val="00DB5C8A"/>
    <w:rsid w:val="00DB5E3B"/>
    <w:rsid w:val="00DB5F9B"/>
    <w:rsid w:val="00DB649B"/>
    <w:rsid w:val="00DB6704"/>
    <w:rsid w:val="00DB6B14"/>
    <w:rsid w:val="00DB77D1"/>
    <w:rsid w:val="00DB7D08"/>
    <w:rsid w:val="00DB7ED1"/>
    <w:rsid w:val="00DB7FC3"/>
    <w:rsid w:val="00DC01C8"/>
    <w:rsid w:val="00DC01EF"/>
    <w:rsid w:val="00DC02AE"/>
    <w:rsid w:val="00DC03B3"/>
    <w:rsid w:val="00DC0F23"/>
    <w:rsid w:val="00DC124D"/>
    <w:rsid w:val="00DC1574"/>
    <w:rsid w:val="00DC2217"/>
    <w:rsid w:val="00DC254A"/>
    <w:rsid w:val="00DC30E7"/>
    <w:rsid w:val="00DC4283"/>
    <w:rsid w:val="00DC4A8D"/>
    <w:rsid w:val="00DC4B8E"/>
    <w:rsid w:val="00DC518B"/>
    <w:rsid w:val="00DC55D5"/>
    <w:rsid w:val="00DC5FE7"/>
    <w:rsid w:val="00DC6805"/>
    <w:rsid w:val="00DC6CB4"/>
    <w:rsid w:val="00DC716A"/>
    <w:rsid w:val="00DC7220"/>
    <w:rsid w:val="00DC7CEE"/>
    <w:rsid w:val="00DC7D02"/>
    <w:rsid w:val="00DD0FA3"/>
    <w:rsid w:val="00DD125B"/>
    <w:rsid w:val="00DD2703"/>
    <w:rsid w:val="00DD2845"/>
    <w:rsid w:val="00DD3F9C"/>
    <w:rsid w:val="00DD40C7"/>
    <w:rsid w:val="00DD58E6"/>
    <w:rsid w:val="00DD5A52"/>
    <w:rsid w:val="00DD5DDA"/>
    <w:rsid w:val="00DD6625"/>
    <w:rsid w:val="00DD6E73"/>
    <w:rsid w:val="00DD7B6A"/>
    <w:rsid w:val="00DE0252"/>
    <w:rsid w:val="00DE0C50"/>
    <w:rsid w:val="00DE0CA5"/>
    <w:rsid w:val="00DE1B00"/>
    <w:rsid w:val="00DE3084"/>
    <w:rsid w:val="00DE3600"/>
    <w:rsid w:val="00DE3B91"/>
    <w:rsid w:val="00DE5395"/>
    <w:rsid w:val="00DE5841"/>
    <w:rsid w:val="00DE5CDB"/>
    <w:rsid w:val="00DE5D71"/>
    <w:rsid w:val="00DE6273"/>
    <w:rsid w:val="00DE63E7"/>
    <w:rsid w:val="00DE65B6"/>
    <w:rsid w:val="00DE6A21"/>
    <w:rsid w:val="00DE6DFB"/>
    <w:rsid w:val="00DE7A71"/>
    <w:rsid w:val="00DE7E41"/>
    <w:rsid w:val="00DF0A7F"/>
    <w:rsid w:val="00DF0D98"/>
    <w:rsid w:val="00DF0D9E"/>
    <w:rsid w:val="00DF1576"/>
    <w:rsid w:val="00DF31BC"/>
    <w:rsid w:val="00DF34EA"/>
    <w:rsid w:val="00DF3887"/>
    <w:rsid w:val="00DF4013"/>
    <w:rsid w:val="00DF4728"/>
    <w:rsid w:val="00DF53CD"/>
    <w:rsid w:val="00DF5836"/>
    <w:rsid w:val="00DF5BBB"/>
    <w:rsid w:val="00DF6C52"/>
    <w:rsid w:val="00DF6F56"/>
    <w:rsid w:val="00E003A2"/>
    <w:rsid w:val="00E00964"/>
    <w:rsid w:val="00E00D8E"/>
    <w:rsid w:val="00E00E29"/>
    <w:rsid w:val="00E00EB3"/>
    <w:rsid w:val="00E01A6D"/>
    <w:rsid w:val="00E01A8D"/>
    <w:rsid w:val="00E02F87"/>
    <w:rsid w:val="00E03051"/>
    <w:rsid w:val="00E0333F"/>
    <w:rsid w:val="00E04E50"/>
    <w:rsid w:val="00E04F0E"/>
    <w:rsid w:val="00E05124"/>
    <w:rsid w:val="00E064CB"/>
    <w:rsid w:val="00E06A1B"/>
    <w:rsid w:val="00E06BFB"/>
    <w:rsid w:val="00E06FF8"/>
    <w:rsid w:val="00E0734A"/>
    <w:rsid w:val="00E11D7E"/>
    <w:rsid w:val="00E11F2C"/>
    <w:rsid w:val="00E122A9"/>
    <w:rsid w:val="00E12608"/>
    <w:rsid w:val="00E1269F"/>
    <w:rsid w:val="00E127D5"/>
    <w:rsid w:val="00E12CC0"/>
    <w:rsid w:val="00E12E17"/>
    <w:rsid w:val="00E12FAE"/>
    <w:rsid w:val="00E130F2"/>
    <w:rsid w:val="00E1373A"/>
    <w:rsid w:val="00E14986"/>
    <w:rsid w:val="00E14F1D"/>
    <w:rsid w:val="00E15258"/>
    <w:rsid w:val="00E160E6"/>
    <w:rsid w:val="00E1670A"/>
    <w:rsid w:val="00E16812"/>
    <w:rsid w:val="00E16CEF"/>
    <w:rsid w:val="00E16DE0"/>
    <w:rsid w:val="00E176B8"/>
    <w:rsid w:val="00E17D31"/>
    <w:rsid w:val="00E17DC1"/>
    <w:rsid w:val="00E17FF2"/>
    <w:rsid w:val="00E201B8"/>
    <w:rsid w:val="00E2050A"/>
    <w:rsid w:val="00E2092F"/>
    <w:rsid w:val="00E20E72"/>
    <w:rsid w:val="00E2118A"/>
    <w:rsid w:val="00E21F3A"/>
    <w:rsid w:val="00E220A7"/>
    <w:rsid w:val="00E22949"/>
    <w:rsid w:val="00E234CA"/>
    <w:rsid w:val="00E23B76"/>
    <w:rsid w:val="00E24CC5"/>
    <w:rsid w:val="00E257E4"/>
    <w:rsid w:val="00E26A33"/>
    <w:rsid w:val="00E26BF6"/>
    <w:rsid w:val="00E274A9"/>
    <w:rsid w:val="00E301D5"/>
    <w:rsid w:val="00E308C7"/>
    <w:rsid w:val="00E309DC"/>
    <w:rsid w:val="00E316EC"/>
    <w:rsid w:val="00E3305B"/>
    <w:rsid w:val="00E33251"/>
    <w:rsid w:val="00E33AB8"/>
    <w:rsid w:val="00E3433F"/>
    <w:rsid w:val="00E35046"/>
    <w:rsid w:val="00E36097"/>
    <w:rsid w:val="00E3646B"/>
    <w:rsid w:val="00E36DBD"/>
    <w:rsid w:val="00E36EFC"/>
    <w:rsid w:val="00E374AD"/>
    <w:rsid w:val="00E37AF1"/>
    <w:rsid w:val="00E4081B"/>
    <w:rsid w:val="00E40B37"/>
    <w:rsid w:val="00E421B9"/>
    <w:rsid w:val="00E4248D"/>
    <w:rsid w:val="00E4281F"/>
    <w:rsid w:val="00E42CBA"/>
    <w:rsid w:val="00E446AF"/>
    <w:rsid w:val="00E44839"/>
    <w:rsid w:val="00E44A74"/>
    <w:rsid w:val="00E44F0E"/>
    <w:rsid w:val="00E4597B"/>
    <w:rsid w:val="00E46102"/>
    <w:rsid w:val="00E46E27"/>
    <w:rsid w:val="00E46FE3"/>
    <w:rsid w:val="00E4766F"/>
    <w:rsid w:val="00E476ED"/>
    <w:rsid w:val="00E4795B"/>
    <w:rsid w:val="00E50F4B"/>
    <w:rsid w:val="00E51156"/>
    <w:rsid w:val="00E516C9"/>
    <w:rsid w:val="00E52904"/>
    <w:rsid w:val="00E52E19"/>
    <w:rsid w:val="00E541D2"/>
    <w:rsid w:val="00E544B3"/>
    <w:rsid w:val="00E544C3"/>
    <w:rsid w:val="00E55428"/>
    <w:rsid w:val="00E55C9C"/>
    <w:rsid w:val="00E5603C"/>
    <w:rsid w:val="00E567C3"/>
    <w:rsid w:val="00E56A3D"/>
    <w:rsid w:val="00E57880"/>
    <w:rsid w:val="00E579AE"/>
    <w:rsid w:val="00E6019B"/>
    <w:rsid w:val="00E606AC"/>
    <w:rsid w:val="00E6096B"/>
    <w:rsid w:val="00E62441"/>
    <w:rsid w:val="00E6287A"/>
    <w:rsid w:val="00E62C4F"/>
    <w:rsid w:val="00E62D54"/>
    <w:rsid w:val="00E62F2C"/>
    <w:rsid w:val="00E636CE"/>
    <w:rsid w:val="00E63EDD"/>
    <w:rsid w:val="00E64186"/>
    <w:rsid w:val="00E64294"/>
    <w:rsid w:val="00E649AF"/>
    <w:rsid w:val="00E64A1A"/>
    <w:rsid w:val="00E65339"/>
    <w:rsid w:val="00E657C1"/>
    <w:rsid w:val="00E661D4"/>
    <w:rsid w:val="00E66465"/>
    <w:rsid w:val="00E6696F"/>
    <w:rsid w:val="00E66ACA"/>
    <w:rsid w:val="00E66FA5"/>
    <w:rsid w:val="00E6736C"/>
    <w:rsid w:val="00E70191"/>
    <w:rsid w:val="00E710A2"/>
    <w:rsid w:val="00E712BC"/>
    <w:rsid w:val="00E71491"/>
    <w:rsid w:val="00E71903"/>
    <w:rsid w:val="00E71951"/>
    <w:rsid w:val="00E72A65"/>
    <w:rsid w:val="00E72FF1"/>
    <w:rsid w:val="00E74056"/>
    <w:rsid w:val="00E7433C"/>
    <w:rsid w:val="00E743A2"/>
    <w:rsid w:val="00E74769"/>
    <w:rsid w:val="00E74A4F"/>
    <w:rsid w:val="00E74F92"/>
    <w:rsid w:val="00E7594D"/>
    <w:rsid w:val="00E75E88"/>
    <w:rsid w:val="00E75F5C"/>
    <w:rsid w:val="00E76C0C"/>
    <w:rsid w:val="00E7700B"/>
    <w:rsid w:val="00E775D0"/>
    <w:rsid w:val="00E77720"/>
    <w:rsid w:val="00E77F95"/>
    <w:rsid w:val="00E80FDE"/>
    <w:rsid w:val="00E81343"/>
    <w:rsid w:val="00E819E4"/>
    <w:rsid w:val="00E81D0F"/>
    <w:rsid w:val="00E823B0"/>
    <w:rsid w:val="00E8247F"/>
    <w:rsid w:val="00E82994"/>
    <w:rsid w:val="00E829CD"/>
    <w:rsid w:val="00E83102"/>
    <w:rsid w:val="00E835DD"/>
    <w:rsid w:val="00E83B2B"/>
    <w:rsid w:val="00E84318"/>
    <w:rsid w:val="00E84A64"/>
    <w:rsid w:val="00E850AF"/>
    <w:rsid w:val="00E85FDA"/>
    <w:rsid w:val="00E86DA9"/>
    <w:rsid w:val="00E86FD3"/>
    <w:rsid w:val="00E87446"/>
    <w:rsid w:val="00E876C8"/>
    <w:rsid w:val="00E9006F"/>
    <w:rsid w:val="00E907F9"/>
    <w:rsid w:val="00E91708"/>
    <w:rsid w:val="00E91984"/>
    <w:rsid w:val="00E92568"/>
    <w:rsid w:val="00E9271C"/>
    <w:rsid w:val="00E92856"/>
    <w:rsid w:val="00E93CE6"/>
    <w:rsid w:val="00E93D56"/>
    <w:rsid w:val="00E94510"/>
    <w:rsid w:val="00E94549"/>
    <w:rsid w:val="00E94C85"/>
    <w:rsid w:val="00E951CF"/>
    <w:rsid w:val="00E95239"/>
    <w:rsid w:val="00E956BA"/>
    <w:rsid w:val="00E95E4D"/>
    <w:rsid w:val="00E96520"/>
    <w:rsid w:val="00E96699"/>
    <w:rsid w:val="00E96BFE"/>
    <w:rsid w:val="00E96C18"/>
    <w:rsid w:val="00E97182"/>
    <w:rsid w:val="00E971E0"/>
    <w:rsid w:val="00E974A8"/>
    <w:rsid w:val="00E97A4F"/>
    <w:rsid w:val="00EA1267"/>
    <w:rsid w:val="00EA21C5"/>
    <w:rsid w:val="00EA33CE"/>
    <w:rsid w:val="00EA441C"/>
    <w:rsid w:val="00EA4618"/>
    <w:rsid w:val="00EA49E4"/>
    <w:rsid w:val="00EA49F4"/>
    <w:rsid w:val="00EA55CA"/>
    <w:rsid w:val="00EA6092"/>
    <w:rsid w:val="00EA60D6"/>
    <w:rsid w:val="00EA6579"/>
    <w:rsid w:val="00EA6855"/>
    <w:rsid w:val="00EA6B43"/>
    <w:rsid w:val="00EA7E5A"/>
    <w:rsid w:val="00EB0FDA"/>
    <w:rsid w:val="00EB105B"/>
    <w:rsid w:val="00EB1B24"/>
    <w:rsid w:val="00EB1FBF"/>
    <w:rsid w:val="00EB2F1C"/>
    <w:rsid w:val="00EB3D21"/>
    <w:rsid w:val="00EB3D5F"/>
    <w:rsid w:val="00EB47E5"/>
    <w:rsid w:val="00EB5251"/>
    <w:rsid w:val="00EB5BBB"/>
    <w:rsid w:val="00EB7B37"/>
    <w:rsid w:val="00EC0317"/>
    <w:rsid w:val="00EC070B"/>
    <w:rsid w:val="00EC0A83"/>
    <w:rsid w:val="00EC1E01"/>
    <w:rsid w:val="00EC1EC7"/>
    <w:rsid w:val="00EC242A"/>
    <w:rsid w:val="00EC32C4"/>
    <w:rsid w:val="00EC44A3"/>
    <w:rsid w:val="00EC450F"/>
    <w:rsid w:val="00EC47BD"/>
    <w:rsid w:val="00EC5878"/>
    <w:rsid w:val="00EC5BF0"/>
    <w:rsid w:val="00EC663C"/>
    <w:rsid w:val="00EC6C19"/>
    <w:rsid w:val="00EC7896"/>
    <w:rsid w:val="00EC7E01"/>
    <w:rsid w:val="00ED0367"/>
    <w:rsid w:val="00ED0AAB"/>
    <w:rsid w:val="00ED0B68"/>
    <w:rsid w:val="00ED0F6D"/>
    <w:rsid w:val="00ED1A1C"/>
    <w:rsid w:val="00ED1F23"/>
    <w:rsid w:val="00ED2290"/>
    <w:rsid w:val="00ED34B8"/>
    <w:rsid w:val="00ED35C3"/>
    <w:rsid w:val="00ED3AB0"/>
    <w:rsid w:val="00ED41EB"/>
    <w:rsid w:val="00ED4C96"/>
    <w:rsid w:val="00ED5263"/>
    <w:rsid w:val="00ED5323"/>
    <w:rsid w:val="00ED557F"/>
    <w:rsid w:val="00ED5684"/>
    <w:rsid w:val="00ED56A4"/>
    <w:rsid w:val="00ED5DAB"/>
    <w:rsid w:val="00ED5FF1"/>
    <w:rsid w:val="00ED62C8"/>
    <w:rsid w:val="00ED64D3"/>
    <w:rsid w:val="00ED68EE"/>
    <w:rsid w:val="00ED70BE"/>
    <w:rsid w:val="00EE14CA"/>
    <w:rsid w:val="00EE15AF"/>
    <w:rsid w:val="00EE1808"/>
    <w:rsid w:val="00EE1D00"/>
    <w:rsid w:val="00EE2A7E"/>
    <w:rsid w:val="00EE3B59"/>
    <w:rsid w:val="00EE3B93"/>
    <w:rsid w:val="00EE3D13"/>
    <w:rsid w:val="00EE43BC"/>
    <w:rsid w:val="00EE44EE"/>
    <w:rsid w:val="00EE4ADA"/>
    <w:rsid w:val="00EE4BA2"/>
    <w:rsid w:val="00EE4F50"/>
    <w:rsid w:val="00EE4FCA"/>
    <w:rsid w:val="00EE54AF"/>
    <w:rsid w:val="00EE5F40"/>
    <w:rsid w:val="00EE6264"/>
    <w:rsid w:val="00EE67C6"/>
    <w:rsid w:val="00EE6825"/>
    <w:rsid w:val="00EE7283"/>
    <w:rsid w:val="00EE793E"/>
    <w:rsid w:val="00EE79ED"/>
    <w:rsid w:val="00EE7A4D"/>
    <w:rsid w:val="00EF25F9"/>
    <w:rsid w:val="00EF3589"/>
    <w:rsid w:val="00EF4118"/>
    <w:rsid w:val="00EF43C7"/>
    <w:rsid w:val="00EF47B6"/>
    <w:rsid w:val="00EF4B22"/>
    <w:rsid w:val="00EF4EC5"/>
    <w:rsid w:val="00EF5614"/>
    <w:rsid w:val="00EF5658"/>
    <w:rsid w:val="00EF575D"/>
    <w:rsid w:val="00EF5998"/>
    <w:rsid w:val="00EF6376"/>
    <w:rsid w:val="00EF69D6"/>
    <w:rsid w:val="00EF6E5D"/>
    <w:rsid w:val="00EF78EE"/>
    <w:rsid w:val="00EF7B3F"/>
    <w:rsid w:val="00EF7DD8"/>
    <w:rsid w:val="00F0023F"/>
    <w:rsid w:val="00F00349"/>
    <w:rsid w:val="00F00CD5"/>
    <w:rsid w:val="00F01B21"/>
    <w:rsid w:val="00F01C69"/>
    <w:rsid w:val="00F01CD9"/>
    <w:rsid w:val="00F0264A"/>
    <w:rsid w:val="00F0268E"/>
    <w:rsid w:val="00F03635"/>
    <w:rsid w:val="00F03BC0"/>
    <w:rsid w:val="00F04570"/>
    <w:rsid w:val="00F05120"/>
    <w:rsid w:val="00F05ECC"/>
    <w:rsid w:val="00F06A5F"/>
    <w:rsid w:val="00F07337"/>
    <w:rsid w:val="00F0743D"/>
    <w:rsid w:val="00F076C9"/>
    <w:rsid w:val="00F07958"/>
    <w:rsid w:val="00F07CB4"/>
    <w:rsid w:val="00F10364"/>
    <w:rsid w:val="00F10A74"/>
    <w:rsid w:val="00F10FE8"/>
    <w:rsid w:val="00F11541"/>
    <w:rsid w:val="00F125CF"/>
    <w:rsid w:val="00F12769"/>
    <w:rsid w:val="00F12E75"/>
    <w:rsid w:val="00F13051"/>
    <w:rsid w:val="00F136C4"/>
    <w:rsid w:val="00F140FA"/>
    <w:rsid w:val="00F1414A"/>
    <w:rsid w:val="00F142E9"/>
    <w:rsid w:val="00F148E2"/>
    <w:rsid w:val="00F15202"/>
    <w:rsid w:val="00F1607C"/>
    <w:rsid w:val="00F160A0"/>
    <w:rsid w:val="00F160CE"/>
    <w:rsid w:val="00F1636E"/>
    <w:rsid w:val="00F17518"/>
    <w:rsid w:val="00F204B9"/>
    <w:rsid w:val="00F20924"/>
    <w:rsid w:val="00F20C09"/>
    <w:rsid w:val="00F21920"/>
    <w:rsid w:val="00F21D0B"/>
    <w:rsid w:val="00F2250F"/>
    <w:rsid w:val="00F22B4C"/>
    <w:rsid w:val="00F22E24"/>
    <w:rsid w:val="00F2324B"/>
    <w:rsid w:val="00F232EE"/>
    <w:rsid w:val="00F23356"/>
    <w:rsid w:val="00F24D45"/>
    <w:rsid w:val="00F25066"/>
    <w:rsid w:val="00F25651"/>
    <w:rsid w:val="00F25CBD"/>
    <w:rsid w:val="00F25F8F"/>
    <w:rsid w:val="00F27713"/>
    <w:rsid w:val="00F27FBF"/>
    <w:rsid w:val="00F30E6C"/>
    <w:rsid w:val="00F31329"/>
    <w:rsid w:val="00F31714"/>
    <w:rsid w:val="00F3196A"/>
    <w:rsid w:val="00F31C4E"/>
    <w:rsid w:val="00F31D51"/>
    <w:rsid w:val="00F32349"/>
    <w:rsid w:val="00F32C25"/>
    <w:rsid w:val="00F32C7B"/>
    <w:rsid w:val="00F33C2F"/>
    <w:rsid w:val="00F33CA1"/>
    <w:rsid w:val="00F34176"/>
    <w:rsid w:val="00F35195"/>
    <w:rsid w:val="00F35A3A"/>
    <w:rsid w:val="00F36694"/>
    <w:rsid w:val="00F366DF"/>
    <w:rsid w:val="00F36810"/>
    <w:rsid w:val="00F36EEA"/>
    <w:rsid w:val="00F37C75"/>
    <w:rsid w:val="00F37C94"/>
    <w:rsid w:val="00F41C58"/>
    <w:rsid w:val="00F42019"/>
    <w:rsid w:val="00F42E03"/>
    <w:rsid w:val="00F43472"/>
    <w:rsid w:val="00F43B8A"/>
    <w:rsid w:val="00F43CD2"/>
    <w:rsid w:val="00F441F2"/>
    <w:rsid w:val="00F44ED7"/>
    <w:rsid w:val="00F4533B"/>
    <w:rsid w:val="00F4562D"/>
    <w:rsid w:val="00F457DE"/>
    <w:rsid w:val="00F46569"/>
    <w:rsid w:val="00F470DE"/>
    <w:rsid w:val="00F51DB7"/>
    <w:rsid w:val="00F52839"/>
    <w:rsid w:val="00F5297A"/>
    <w:rsid w:val="00F53BC1"/>
    <w:rsid w:val="00F53F67"/>
    <w:rsid w:val="00F5546A"/>
    <w:rsid w:val="00F55548"/>
    <w:rsid w:val="00F56178"/>
    <w:rsid w:val="00F57CC7"/>
    <w:rsid w:val="00F6051F"/>
    <w:rsid w:val="00F609C7"/>
    <w:rsid w:val="00F60B5F"/>
    <w:rsid w:val="00F60D79"/>
    <w:rsid w:val="00F60F69"/>
    <w:rsid w:val="00F616AE"/>
    <w:rsid w:val="00F62371"/>
    <w:rsid w:val="00F6412B"/>
    <w:rsid w:val="00F64DF6"/>
    <w:rsid w:val="00F6507D"/>
    <w:rsid w:val="00F65B1A"/>
    <w:rsid w:val="00F6623D"/>
    <w:rsid w:val="00F662CB"/>
    <w:rsid w:val="00F66598"/>
    <w:rsid w:val="00F6732B"/>
    <w:rsid w:val="00F673CC"/>
    <w:rsid w:val="00F67C45"/>
    <w:rsid w:val="00F67DC7"/>
    <w:rsid w:val="00F7044A"/>
    <w:rsid w:val="00F70863"/>
    <w:rsid w:val="00F712E8"/>
    <w:rsid w:val="00F7146E"/>
    <w:rsid w:val="00F718B3"/>
    <w:rsid w:val="00F729AA"/>
    <w:rsid w:val="00F7317C"/>
    <w:rsid w:val="00F7332A"/>
    <w:rsid w:val="00F73330"/>
    <w:rsid w:val="00F73405"/>
    <w:rsid w:val="00F736FF"/>
    <w:rsid w:val="00F73B35"/>
    <w:rsid w:val="00F743F4"/>
    <w:rsid w:val="00F74A0D"/>
    <w:rsid w:val="00F74D9B"/>
    <w:rsid w:val="00F74E73"/>
    <w:rsid w:val="00F74EFB"/>
    <w:rsid w:val="00F7598C"/>
    <w:rsid w:val="00F76626"/>
    <w:rsid w:val="00F766F0"/>
    <w:rsid w:val="00F76903"/>
    <w:rsid w:val="00F76C8A"/>
    <w:rsid w:val="00F77258"/>
    <w:rsid w:val="00F778B5"/>
    <w:rsid w:val="00F77E30"/>
    <w:rsid w:val="00F801D4"/>
    <w:rsid w:val="00F80808"/>
    <w:rsid w:val="00F8129C"/>
    <w:rsid w:val="00F81C1B"/>
    <w:rsid w:val="00F82EBD"/>
    <w:rsid w:val="00F8310B"/>
    <w:rsid w:val="00F832C0"/>
    <w:rsid w:val="00F838C2"/>
    <w:rsid w:val="00F84EE0"/>
    <w:rsid w:val="00F8610D"/>
    <w:rsid w:val="00F875E4"/>
    <w:rsid w:val="00F87EBC"/>
    <w:rsid w:val="00F90422"/>
    <w:rsid w:val="00F90548"/>
    <w:rsid w:val="00F90A09"/>
    <w:rsid w:val="00F90B7B"/>
    <w:rsid w:val="00F91C47"/>
    <w:rsid w:val="00F92713"/>
    <w:rsid w:val="00F92A5F"/>
    <w:rsid w:val="00F93BC7"/>
    <w:rsid w:val="00F93D7B"/>
    <w:rsid w:val="00F94000"/>
    <w:rsid w:val="00F9449C"/>
    <w:rsid w:val="00F94DF4"/>
    <w:rsid w:val="00F9578E"/>
    <w:rsid w:val="00F95BDD"/>
    <w:rsid w:val="00F95DD3"/>
    <w:rsid w:val="00F96290"/>
    <w:rsid w:val="00F96320"/>
    <w:rsid w:val="00F969DE"/>
    <w:rsid w:val="00F96BCD"/>
    <w:rsid w:val="00FA04B5"/>
    <w:rsid w:val="00FA0A6A"/>
    <w:rsid w:val="00FA0A7A"/>
    <w:rsid w:val="00FA0BAB"/>
    <w:rsid w:val="00FA2A8E"/>
    <w:rsid w:val="00FA34CD"/>
    <w:rsid w:val="00FA604E"/>
    <w:rsid w:val="00FA67C8"/>
    <w:rsid w:val="00FA6EAC"/>
    <w:rsid w:val="00FA749C"/>
    <w:rsid w:val="00FA7689"/>
    <w:rsid w:val="00FB0076"/>
    <w:rsid w:val="00FB048B"/>
    <w:rsid w:val="00FB0F23"/>
    <w:rsid w:val="00FB0F78"/>
    <w:rsid w:val="00FB1551"/>
    <w:rsid w:val="00FB16E4"/>
    <w:rsid w:val="00FB19E9"/>
    <w:rsid w:val="00FB1A52"/>
    <w:rsid w:val="00FB256F"/>
    <w:rsid w:val="00FB2E69"/>
    <w:rsid w:val="00FB314F"/>
    <w:rsid w:val="00FB403A"/>
    <w:rsid w:val="00FB52CD"/>
    <w:rsid w:val="00FB5EAB"/>
    <w:rsid w:val="00FB628A"/>
    <w:rsid w:val="00FB6B89"/>
    <w:rsid w:val="00FB7D03"/>
    <w:rsid w:val="00FB7E50"/>
    <w:rsid w:val="00FC0488"/>
    <w:rsid w:val="00FC20FE"/>
    <w:rsid w:val="00FC22AA"/>
    <w:rsid w:val="00FC2C26"/>
    <w:rsid w:val="00FC4491"/>
    <w:rsid w:val="00FC492E"/>
    <w:rsid w:val="00FC4BBA"/>
    <w:rsid w:val="00FC51C5"/>
    <w:rsid w:val="00FC5453"/>
    <w:rsid w:val="00FC633F"/>
    <w:rsid w:val="00FC6449"/>
    <w:rsid w:val="00FC683E"/>
    <w:rsid w:val="00FC7DF5"/>
    <w:rsid w:val="00FD01BA"/>
    <w:rsid w:val="00FD061E"/>
    <w:rsid w:val="00FD08F1"/>
    <w:rsid w:val="00FD0F84"/>
    <w:rsid w:val="00FD15EF"/>
    <w:rsid w:val="00FD286D"/>
    <w:rsid w:val="00FD2F0C"/>
    <w:rsid w:val="00FD2FA5"/>
    <w:rsid w:val="00FD3128"/>
    <w:rsid w:val="00FD517B"/>
    <w:rsid w:val="00FD5448"/>
    <w:rsid w:val="00FD5F11"/>
    <w:rsid w:val="00FD60A7"/>
    <w:rsid w:val="00FD62B2"/>
    <w:rsid w:val="00FD6537"/>
    <w:rsid w:val="00FD731E"/>
    <w:rsid w:val="00FE0968"/>
    <w:rsid w:val="00FE198F"/>
    <w:rsid w:val="00FE23E1"/>
    <w:rsid w:val="00FE2435"/>
    <w:rsid w:val="00FE26B9"/>
    <w:rsid w:val="00FE2789"/>
    <w:rsid w:val="00FE39E1"/>
    <w:rsid w:val="00FE48DB"/>
    <w:rsid w:val="00FE4C4F"/>
    <w:rsid w:val="00FE4F6E"/>
    <w:rsid w:val="00FE510E"/>
    <w:rsid w:val="00FE52F3"/>
    <w:rsid w:val="00FE588B"/>
    <w:rsid w:val="00FE644C"/>
    <w:rsid w:val="00FE6E7C"/>
    <w:rsid w:val="00FE6E81"/>
    <w:rsid w:val="00FE7E7B"/>
    <w:rsid w:val="00FF04EE"/>
    <w:rsid w:val="00FF08D6"/>
    <w:rsid w:val="00FF097F"/>
    <w:rsid w:val="00FF1614"/>
    <w:rsid w:val="00FF17B3"/>
    <w:rsid w:val="00FF1A1D"/>
    <w:rsid w:val="00FF1CD9"/>
    <w:rsid w:val="00FF1F26"/>
    <w:rsid w:val="00FF214C"/>
    <w:rsid w:val="00FF34F5"/>
    <w:rsid w:val="00FF3742"/>
    <w:rsid w:val="00FF3BE2"/>
    <w:rsid w:val="00FF48D6"/>
    <w:rsid w:val="00FF4941"/>
    <w:rsid w:val="00FF56A8"/>
    <w:rsid w:val="00FF5FE1"/>
    <w:rsid w:val="00FF69C4"/>
    <w:rsid w:val="00FF6ABD"/>
    <w:rsid w:val="00FF6C56"/>
    <w:rsid w:val="00FF6E07"/>
    <w:rsid w:val="00FF7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5DA6A"/>
  <w15:docId w15:val="{4A4181DD-FF2C-4310-B942-763017A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B79"/>
    <w:pPr>
      <w:keepNext/>
      <w:keepLines/>
      <w:spacing w:after="0" w:line="240" w:lineRule="auto"/>
      <w:outlineLvl w:val="0"/>
    </w:pPr>
    <w:rPr>
      <w:rFonts w:ascii="Calibri" w:eastAsia="Times New Roman" w:hAnsi="Calibri" w:cs="Calibri"/>
      <w:b/>
      <w:bCs/>
      <w:color w:val="000000"/>
      <w:lang w:eastAsia="es-ES"/>
    </w:rPr>
  </w:style>
  <w:style w:type="paragraph" w:styleId="Ttulo2">
    <w:name w:val="heading 2"/>
    <w:basedOn w:val="Normal"/>
    <w:next w:val="Normal"/>
    <w:link w:val="Ttulo2Car"/>
    <w:uiPriority w:val="9"/>
    <w:unhideWhenUsed/>
    <w:qFormat/>
    <w:rsid w:val="00690A73"/>
    <w:pPr>
      <w:keepNext/>
      <w:keepLines/>
      <w:spacing w:after="0" w:line="240" w:lineRule="auto"/>
      <w:contextualSpacing/>
      <w:jc w:val="both"/>
      <w:outlineLvl w:val="1"/>
    </w:pPr>
    <w:rPr>
      <w:b/>
      <w:bCs/>
      <w:color w:val="000000" w:themeColor="text1"/>
      <w:u w:val="single"/>
    </w:rPr>
  </w:style>
  <w:style w:type="paragraph" w:styleId="Ttulo3">
    <w:name w:val="heading 3"/>
    <w:basedOn w:val="Normal"/>
    <w:next w:val="Normal"/>
    <w:link w:val="Ttulo3Car"/>
    <w:uiPriority w:val="9"/>
    <w:unhideWhenUsed/>
    <w:qFormat/>
    <w:rsid w:val="00066613"/>
    <w:pPr>
      <w:keepNext/>
      <w:keepLines/>
      <w:spacing w:after="0" w:line="240" w:lineRule="auto"/>
      <w:jc w:val="center"/>
      <w:outlineLvl w:val="2"/>
    </w:pPr>
    <w:rPr>
      <w:rFonts w:eastAsia="Times New Roman" w:cstheme="minorHAnsi"/>
      <w:b/>
      <w:bCs/>
      <w:color w:val="000000" w:themeColor="text1"/>
      <w:lang w:eastAsia="es-ES"/>
    </w:rPr>
  </w:style>
  <w:style w:type="paragraph" w:styleId="Ttulo4">
    <w:name w:val="heading 4"/>
    <w:basedOn w:val="Normal"/>
    <w:next w:val="Normal"/>
    <w:link w:val="Ttulo4Car"/>
    <w:uiPriority w:val="9"/>
    <w:unhideWhenUsed/>
    <w:qFormat/>
    <w:rsid w:val="00E9271C"/>
    <w:pPr>
      <w:keepNext/>
      <w:keepLines/>
      <w:spacing w:after="0" w:line="240" w:lineRule="auto"/>
      <w:ind w:left="-113" w:right="170"/>
      <w:jc w:val="right"/>
      <w:outlineLvl w:val="3"/>
    </w:pPr>
    <w:rPr>
      <w:rFonts w:eastAsia="Times New Roman" w:cstheme="minorHAnsi"/>
      <w:b/>
      <w:bCs/>
      <w:color w:val="000000" w:themeColor="text1"/>
      <w:lang w:eastAsia="es-ES"/>
    </w:rPr>
  </w:style>
  <w:style w:type="paragraph" w:styleId="Ttulo5">
    <w:name w:val="heading 5"/>
    <w:basedOn w:val="Normal"/>
    <w:next w:val="Normal"/>
    <w:link w:val="Ttulo5Car"/>
    <w:uiPriority w:val="9"/>
    <w:unhideWhenUsed/>
    <w:qFormat/>
    <w:rsid w:val="00524C85"/>
    <w:pPr>
      <w:keepNext/>
      <w:keepLines/>
      <w:spacing w:after="0" w:line="240" w:lineRule="auto"/>
      <w:outlineLvl w:val="4"/>
    </w:pPr>
    <w:rPr>
      <w:rFonts w:eastAsia="Times New Roman" w:cstheme="minorHAnsi"/>
      <w:b/>
      <w:bCs/>
      <w:color w:val="000000" w:themeColor="text1"/>
      <w:lang w:eastAsia="es-ES"/>
    </w:rPr>
  </w:style>
  <w:style w:type="paragraph" w:styleId="Ttulo6">
    <w:name w:val="heading 6"/>
    <w:basedOn w:val="Normal"/>
    <w:next w:val="Normal"/>
    <w:link w:val="Ttulo6Car"/>
    <w:uiPriority w:val="9"/>
    <w:unhideWhenUsed/>
    <w:qFormat/>
    <w:rsid w:val="00A61546"/>
    <w:pPr>
      <w:keepNext/>
      <w:tabs>
        <w:tab w:val="left" w:pos="284"/>
        <w:tab w:val="left" w:pos="1418"/>
        <w:tab w:val="left" w:pos="2835"/>
      </w:tabs>
      <w:spacing w:after="0" w:line="240" w:lineRule="auto"/>
      <w:jc w:val="center"/>
      <w:outlineLvl w:val="5"/>
    </w:pPr>
    <w:rPr>
      <w:color w:val="7F7F7F" w:themeColor="text1" w:themeTint="80"/>
      <w:sz w:val="20"/>
      <w:szCs w:val="20"/>
    </w:rPr>
  </w:style>
  <w:style w:type="paragraph" w:styleId="Ttulo7">
    <w:name w:val="heading 7"/>
    <w:basedOn w:val="Normal"/>
    <w:next w:val="Normal"/>
    <w:link w:val="Ttulo7Car"/>
    <w:uiPriority w:val="9"/>
    <w:unhideWhenUsed/>
    <w:qFormat/>
    <w:rsid w:val="00DF34EA"/>
    <w:pPr>
      <w:keepNext/>
      <w:keepLines/>
      <w:autoSpaceDE w:val="0"/>
      <w:autoSpaceDN w:val="0"/>
      <w:spacing w:after="0" w:line="240" w:lineRule="auto"/>
      <w:outlineLvl w:val="6"/>
    </w:pPr>
    <w:rPr>
      <w:rFonts w:cstheme="minorHAnsi"/>
      <w:b/>
      <w:bCs/>
      <w:color w:val="000000" w:themeColor="text1"/>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5"/>
    <w:qFormat/>
    <w:rsid w:val="002A5310"/>
    <w:pPr>
      <w:ind w:left="720"/>
      <w:contextualSpacing/>
    </w:pPr>
  </w:style>
  <w:style w:type="paragraph" w:styleId="Encabezado">
    <w:name w:val="header"/>
    <w:basedOn w:val="Normal"/>
    <w:link w:val="EncabezadoCar"/>
    <w:uiPriority w:val="99"/>
    <w:unhideWhenUsed/>
    <w:rsid w:val="002A53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5310"/>
  </w:style>
  <w:style w:type="paragraph" w:styleId="Piedepgina">
    <w:name w:val="footer"/>
    <w:basedOn w:val="Normal"/>
    <w:link w:val="PiedepginaCar"/>
    <w:uiPriority w:val="99"/>
    <w:unhideWhenUsed/>
    <w:rsid w:val="002A53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5310"/>
  </w:style>
  <w:style w:type="paragraph" w:styleId="Textodeglobo">
    <w:name w:val="Balloon Text"/>
    <w:basedOn w:val="Normal"/>
    <w:link w:val="TextodegloboCar"/>
    <w:uiPriority w:val="99"/>
    <w:semiHidden/>
    <w:unhideWhenUsed/>
    <w:rsid w:val="00DC22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217"/>
    <w:rPr>
      <w:rFonts w:ascii="Segoe UI" w:hAnsi="Segoe UI" w:cs="Segoe UI"/>
      <w:sz w:val="18"/>
      <w:szCs w:val="18"/>
    </w:rPr>
  </w:style>
  <w:style w:type="paragraph" w:customStyle="1" w:styleId="Default">
    <w:name w:val="Default"/>
    <w:rsid w:val="005D2F7F"/>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0E0B80"/>
    <w:rPr>
      <w:sz w:val="16"/>
      <w:szCs w:val="16"/>
    </w:rPr>
  </w:style>
  <w:style w:type="paragraph" w:styleId="Textocomentario">
    <w:name w:val="annotation text"/>
    <w:basedOn w:val="Normal"/>
    <w:link w:val="TextocomentarioCar"/>
    <w:uiPriority w:val="99"/>
    <w:unhideWhenUsed/>
    <w:rsid w:val="000E0B80"/>
    <w:pPr>
      <w:spacing w:line="240" w:lineRule="auto"/>
    </w:pPr>
    <w:rPr>
      <w:sz w:val="20"/>
      <w:szCs w:val="20"/>
    </w:rPr>
  </w:style>
  <w:style w:type="character" w:customStyle="1" w:styleId="TextocomentarioCar">
    <w:name w:val="Texto comentario Car"/>
    <w:basedOn w:val="Fuentedeprrafopredeter"/>
    <w:link w:val="Textocomentario"/>
    <w:uiPriority w:val="99"/>
    <w:rsid w:val="000E0B80"/>
    <w:rPr>
      <w:sz w:val="20"/>
      <w:szCs w:val="20"/>
    </w:rPr>
  </w:style>
  <w:style w:type="paragraph" w:styleId="Asuntodelcomentario">
    <w:name w:val="annotation subject"/>
    <w:basedOn w:val="Textocomentario"/>
    <w:next w:val="Textocomentario"/>
    <w:link w:val="AsuntodelcomentarioCar"/>
    <w:uiPriority w:val="99"/>
    <w:semiHidden/>
    <w:unhideWhenUsed/>
    <w:rsid w:val="000E0B80"/>
    <w:rPr>
      <w:b/>
      <w:bCs/>
    </w:rPr>
  </w:style>
  <w:style w:type="character" w:customStyle="1" w:styleId="AsuntodelcomentarioCar">
    <w:name w:val="Asunto del comentario Car"/>
    <w:basedOn w:val="TextocomentarioCar"/>
    <w:link w:val="Asuntodelcomentario"/>
    <w:uiPriority w:val="99"/>
    <w:semiHidden/>
    <w:rsid w:val="000E0B80"/>
    <w:rPr>
      <w:b/>
      <w:bCs/>
      <w:sz w:val="20"/>
      <w:szCs w:val="20"/>
    </w:rPr>
  </w:style>
  <w:style w:type="paragraph" w:styleId="Textodebloque">
    <w:name w:val="Block Text"/>
    <w:basedOn w:val="Normal"/>
    <w:uiPriority w:val="99"/>
    <w:unhideWhenUsed/>
    <w:rsid w:val="009815D1"/>
    <w:pPr>
      <w:spacing w:after="0" w:line="240" w:lineRule="auto"/>
      <w:ind w:left="1134" w:right="282"/>
      <w:jc w:val="both"/>
    </w:pPr>
    <w:rPr>
      <w:sz w:val="20"/>
      <w:szCs w:val="20"/>
    </w:rPr>
  </w:style>
  <w:style w:type="character" w:customStyle="1" w:styleId="Ttulo1Car">
    <w:name w:val="Título 1 Car"/>
    <w:basedOn w:val="Fuentedeprrafopredeter"/>
    <w:link w:val="Ttulo1"/>
    <w:uiPriority w:val="9"/>
    <w:rsid w:val="007D7B79"/>
    <w:rPr>
      <w:rFonts w:ascii="Calibri" w:eastAsia="Times New Roman" w:hAnsi="Calibri" w:cs="Calibri"/>
      <w:b/>
      <w:bCs/>
      <w:color w:val="000000"/>
      <w:lang w:eastAsia="es-ES"/>
    </w:rPr>
  </w:style>
  <w:style w:type="table" w:styleId="Tablaconcuadrcula">
    <w:name w:val="Table Grid"/>
    <w:basedOn w:val="Tablanormal"/>
    <w:uiPriority w:val="39"/>
    <w:rsid w:val="004A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74B65"/>
    <w:pPr>
      <w:spacing w:after="0" w:line="240" w:lineRule="auto"/>
    </w:pPr>
  </w:style>
  <w:style w:type="paragraph" w:styleId="Textoindependiente">
    <w:name w:val="Body Text"/>
    <w:basedOn w:val="Normal"/>
    <w:link w:val="TextoindependienteCar"/>
    <w:uiPriority w:val="99"/>
    <w:unhideWhenUsed/>
    <w:rsid w:val="005123B6"/>
    <w:pPr>
      <w:spacing w:after="0" w:line="240" w:lineRule="auto"/>
      <w:contextualSpacing/>
      <w:jc w:val="both"/>
    </w:pPr>
    <w:rPr>
      <w:color w:val="000000" w:themeColor="text1"/>
    </w:rPr>
  </w:style>
  <w:style w:type="character" w:customStyle="1" w:styleId="TextoindependienteCar">
    <w:name w:val="Texto independiente Car"/>
    <w:basedOn w:val="Fuentedeprrafopredeter"/>
    <w:link w:val="Textoindependiente"/>
    <w:uiPriority w:val="99"/>
    <w:rsid w:val="005123B6"/>
    <w:rPr>
      <w:color w:val="000000" w:themeColor="text1"/>
    </w:rPr>
  </w:style>
  <w:style w:type="character" w:customStyle="1" w:styleId="Ttulo2Car">
    <w:name w:val="Título 2 Car"/>
    <w:basedOn w:val="Fuentedeprrafopredeter"/>
    <w:link w:val="Ttulo2"/>
    <w:uiPriority w:val="9"/>
    <w:rsid w:val="00690A73"/>
    <w:rPr>
      <w:b/>
      <w:bCs/>
      <w:color w:val="000000" w:themeColor="text1"/>
      <w:u w:val="single"/>
    </w:rPr>
  </w:style>
  <w:style w:type="character" w:customStyle="1" w:styleId="Ttulo3Car">
    <w:name w:val="Título 3 Car"/>
    <w:basedOn w:val="Fuentedeprrafopredeter"/>
    <w:link w:val="Ttulo3"/>
    <w:uiPriority w:val="9"/>
    <w:rsid w:val="00066613"/>
    <w:rPr>
      <w:rFonts w:eastAsia="Times New Roman" w:cstheme="minorHAnsi"/>
      <w:b/>
      <w:bCs/>
      <w:color w:val="000000" w:themeColor="text1"/>
      <w:lang w:eastAsia="es-ES"/>
    </w:rPr>
  </w:style>
  <w:style w:type="character" w:customStyle="1" w:styleId="Ttulo4Car">
    <w:name w:val="Título 4 Car"/>
    <w:basedOn w:val="Fuentedeprrafopredeter"/>
    <w:link w:val="Ttulo4"/>
    <w:uiPriority w:val="9"/>
    <w:rsid w:val="00E9271C"/>
    <w:rPr>
      <w:rFonts w:eastAsia="Times New Roman" w:cstheme="minorHAnsi"/>
      <w:b/>
      <w:bCs/>
      <w:color w:val="000000" w:themeColor="text1"/>
      <w:lang w:eastAsia="es-ES"/>
    </w:rPr>
  </w:style>
  <w:style w:type="character" w:customStyle="1" w:styleId="Ttulo5Car">
    <w:name w:val="Título 5 Car"/>
    <w:basedOn w:val="Fuentedeprrafopredeter"/>
    <w:link w:val="Ttulo5"/>
    <w:uiPriority w:val="9"/>
    <w:rsid w:val="00524C85"/>
    <w:rPr>
      <w:rFonts w:eastAsia="Times New Roman" w:cstheme="minorHAnsi"/>
      <w:b/>
      <w:bCs/>
      <w:color w:val="000000" w:themeColor="text1"/>
      <w:lang w:eastAsia="es-ES"/>
    </w:rPr>
  </w:style>
  <w:style w:type="paragraph" w:styleId="Textoindependiente2">
    <w:name w:val="Body Text 2"/>
    <w:basedOn w:val="Normal"/>
    <w:link w:val="Textoindependiente2Car"/>
    <w:uiPriority w:val="99"/>
    <w:unhideWhenUsed/>
    <w:rsid w:val="00E35046"/>
    <w:pPr>
      <w:jc w:val="center"/>
    </w:pPr>
  </w:style>
  <w:style w:type="character" w:customStyle="1" w:styleId="Textoindependiente2Car">
    <w:name w:val="Texto independiente 2 Car"/>
    <w:basedOn w:val="Fuentedeprrafopredeter"/>
    <w:link w:val="Textoindependiente2"/>
    <w:uiPriority w:val="99"/>
    <w:rsid w:val="00E35046"/>
  </w:style>
  <w:style w:type="character" w:customStyle="1" w:styleId="Ttulo6Car">
    <w:name w:val="Título 6 Car"/>
    <w:basedOn w:val="Fuentedeprrafopredeter"/>
    <w:link w:val="Ttulo6"/>
    <w:uiPriority w:val="9"/>
    <w:rsid w:val="00A61546"/>
    <w:rPr>
      <w:color w:val="7F7F7F" w:themeColor="text1" w:themeTint="80"/>
      <w:sz w:val="20"/>
      <w:szCs w:val="20"/>
    </w:rPr>
  </w:style>
  <w:style w:type="character" w:customStyle="1" w:styleId="Ttulo7Car">
    <w:name w:val="Título 7 Car"/>
    <w:basedOn w:val="Fuentedeprrafopredeter"/>
    <w:link w:val="Ttulo7"/>
    <w:uiPriority w:val="9"/>
    <w:rsid w:val="00DF34EA"/>
    <w:rPr>
      <w:rFonts w:cstheme="minorHAnsi"/>
      <w:b/>
      <w:bCs/>
      <w:color w:val="000000" w:themeColor="text1"/>
      <w:u w:val="single"/>
    </w:rPr>
  </w:style>
  <w:style w:type="character" w:styleId="Textoennegrita">
    <w:name w:val="Strong"/>
    <w:basedOn w:val="Fuentedeprrafopredeter"/>
    <w:uiPriority w:val="22"/>
    <w:qFormat/>
    <w:rsid w:val="007F7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6959">
      <w:bodyDiv w:val="1"/>
      <w:marLeft w:val="0"/>
      <w:marRight w:val="0"/>
      <w:marTop w:val="0"/>
      <w:marBottom w:val="0"/>
      <w:divBdr>
        <w:top w:val="none" w:sz="0" w:space="0" w:color="auto"/>
        <w:left w:val="none" w:sz="0" w:space="0" w:color="auto"/>
        <w:bottom w:val="none" w:sz="0" w:space="0" w:color="auto"/>
        <w:right w:val="none" w:sz="0" w:space="0" w:color="auto"/>
      </w:divBdr>
    </w:div>
    <w:div w:id="166141366">
      <w:bodyDiv w:val="1"/>
      <w:marLeft w:val="0"/>
      <w:marRight w:val="0"/>
      <w:marTop w:val="0"/>
      <w:marBottom w:val="0"/>
      <w:divBdr>
        <w:top w:val="none" w:sz="0" w:space="0" w:color="auto"/>
        <w:left w:val="none" w:sz="0" w:space="0" w:color="auto"/>
        <w:bottom w:val="none" w:sz="0" w:space="0" w:color="auto"/>
        <w:right w:val="none" w:sz="0" w:space="0" w:color="auto"/>
      </w:divBdr>
    </w:div>
    <w:div w:id="186649983">
      <w:bodyDiv w:val="1"/>
      <w:marLeft w:val="0"/>
      <w:marRight w:val="0"/>
      <w:marTop w:val="0"/>
      <w:marBottom w:val="0"/>
      <w:divBdr>
        <w:top w:val="none" w:sz="0" w:space="0" w:color="auto"/>
        <w:left w:val="none" w:sz="0" w:space="0" w:color="auto"/>
        <w:bottom w:val="none" w:sz="0" w:space="0" w:color="auto"/>
        <w:right w:val="none" w:sz="0" w:space="0" w:color="auto"/>
      </w:divBdr>
    </w:div>
    <w:div w:id="299917752">
      <w:bodyDiv w:val="1"/>
      <w:marLeft w:val="0"/>
      <w:marRight w:val="0"/>
      <w:marTop w:val="0"/>
      <w:marBottom w:val="0"/>
      <w:divBdr>
        <w:top w:val="none" w:sz="0" w:space="0" w:color="auto"/>
        <w:left w:val="none" w:sz="0" w:space="0" w:color="auto"/>
        <w:bottom w:val="none" w:sz="0" w:space="0" w:color="auto"/>
        <w:right w:val="none" w:sz="0" w:space="0" w:color="auto"/>
      </w:divBdr>
    </w:div>
    <w:div w:id="330841670">
      <w:bodyDiv w:val="1"/>
      <w:marLeft w:val="0"/>
      <w:marRight w:val="0"/>
      <w:marTop w:val="0"/>
      <w:marBottom w:val="0"/>
      <w:divBdr>
        <w:top w:val="none" w:sz="0" w:space="0" w:color="auto"/>
        <w:left w:val="none" w:sz="0" w:space="0" w:color="auto"/>
        <w:bottom w:val="none" w:sz="0" w:space="0" w:color="auto"/>
        <w:right w:val="none" w:sz="0" w:space="0" w:color="auto"/>
      </w:divBdr>
    </w:div>
    <w:div w:id="364794978">
      <w:bodyDiv w:val="1"/>
      <w:marLeft w:val="0"/>
      <w:marRight w:val="0"/>
      <w:marTop w:val="0"/>
      <w:marBottom w:val="0"/>
      <w:divBdr>
        <w:top w:val="none" w:sz="0" w:space="0" w:color="auto"/>
        <w:left w:val="none" w:sz="0" w:space="0" w:color="auto"/>
        <w:bottom w:val="none" w:sz="0" w:space="0" w:color="auto"/>
        <w:right w:val="none" w:sz="0" w:space="0" w:color="auto"/>
      </w:divBdr>
    </w:div>
    <w:div w:id="423304282">
      <w:bodyDiv w:val="1"/>
      <w:marLeft w:val="0"/>
      <w:marRight w:val="0"/>
      <w:marTop w:val="0"/>
      <w:marBottom w:val="0"/>
      <w:divBdr>
        <w:top w:val="none" w:sz="0" w:space="0" w:color="auto"/>
        <w:left w:val="none" w:sz="0" w:space="0" w:color="auto"/>
        <w:bottom w:val="none" w:sz="0" w:space="0" w:color="auto"/>
        <w:right w:val="none" w:sz="0" w:space="0" w:color="auto"/>
      </w:divBdr>
    </w:div>
    <w:div w:id="509834598">
      <w:bodyDiv w:val="1"/>
      <w:marLeft w:val="0"/>
      <w:marRight w:val="0"/>
      <w:marTop w:val="0"/>
      <w:marBottom w:val="0"/>
      <w:divBdr>
        <w:top w:val="none" w:sz="0" w:space="0" w:color="auto"/>
        <w:left w:val="none" w:sz="0" w:space="0" w:color="auto"/>
        <w:bottom w:val="none" w:sz="0" w:space="0" w:color="auto"/>
        <w:right w:val="none" w:sz="0" w:space="0" w:color="auto"/>
      </w:divBdr>
    </w:div>
    <w:div w:id="571545233">
      <w:bodyDiv w:val="1"/>
      <w:marLeft w:val="0"/>
      <w:marRight w:val="0"/>
      <w:marTop w:val="0"/>
      <w:marBottom w:val="0"/>
      <w:divBdr>
        <w:top w:val="none" w:sz="0" w:space="0" w:color="auto"/>
        <w:left w:val="none" w:sz="0" w:space="0" w:color="auto"/>
        <w:bottom w:val="none" w:sz="0" w:space="0" w:color="auto"/>
        <w:right w:val="none" w:sz="0" w:space="0" w:color="auto"/>
      </w:divBdr>
    </w:div>
    <w:div w:id="633759757">
      <w:bodyDiv w:val="1"/>
      <w:marLeft w:val="0"/>
      <w:marRight w:val="0"/>
      <w:marTop w:val="0"/>
      <w:marBottom w:val="0"/>
      <w:divBdr>
        <w:top w:val="none" w:sz="0" w:space="0" w:color="auto"/>
        <w:left w:val="none" w:sz="0" w:space="0" w:color="auto"/>
        <w:bottom w:val="none" w:sz="0" w:space="0" w:color="auto"/>
        <w:right w:val="none" w:sz="0" w:space="0" w:color="auto"/>
      </w:divBdr>
    </w:div>
    <w:div w:id="680470030">
      <w:bodyDiv w:val="1"/>
      <w:marLeft w:val="0"/>
      <w:marRight w:val="0"/>
      <w:marTop w:val="0"/>
      <w:marBottom w:val="0"/>
      <w:divBdr>
        <w:top w:val="none" w:sz="0" w:space="0" w:color="auto"/>
        <w:left w:val="none" w:sz="0" w:space="0" w:color="auto"/>
        <w:bottom w:val="none" w:sz="0" w:space="0" w:color="auto"/>
        <w:right w:val="none" w:sz="0" w:space="0" w:color="auto"/>
      </w:divBdr>
    </w:div>
    <w:div w:id="702246053">
      <w:bodyDiv w:val="1"/>
      <w:marLeft w:val="0"/>
      <w:marRight w:val="0"/>
      <w:marTop w:val="0"/>
      <w:marBottom w:val="0"/>
      <w:divBdr>
        <w:top w:val="none" w:sz="0" w:space="0" w:color="auto"/>
        <w:left w:val="none" w:sz="0" w:space="0" w:color="auto"/>
        <w:bottom w:val="none" w:sz="0" w:space="0" w:color="auto"/>
        <w:right w:val="none" w:sz="0" w:space="0" w:color="auto"/>
      </w:divBdr>
    </w:div>
    <w:div w:id="799080977">
      <w:bodyDiv w:val="1"/>
      <w:marLeft w:val="0"/>
      <w:marRight w:val="0"/>
      <w:marTop w:val="0"/>
      <w:marBottom w:val="0"/>
      <w:divBdr>
        <w:top w:val="none" w:sz="0" w:space="0" w:color="auto"/>
        <w:left w:val="none" w:sz="0" w:space="0" w:color="auto"/>
        <w:bottom w:val="none" w:sz="0" w:space="0" w:color="auto"/>
        <w:right w:val="none" w:sz="0" w:space="0" w:color="auto"/>
      </w:divBdr>
    </w:div>
    <w:div w:id="810680808">
      <w:bodyDiv w:val="1"/>
      <w:marLeft w:val="0"/>
      <w:marRight w:val="0"/>
      <w:marTop w:val="0"/>
      <w:marBottom w:val="0"/>
      <w:divBdr>
        <w:top w:val="none" w:sz="0" w:space="0" w:color="auto"/>
        <w:left w:val="none" w:sz="0" w:space="0" w:color="auto"/>
        <w:bottom w:val="none" w:sz="0" w:space="0" w:color="auto"/>
        <w:right w:val="none" w:sz="0" w:space="0" w:color="auto"/>
      </w:divBdr>
    </w:div>
    <w:div w:id="903220644">
      <w:bodyDiv w:val="1"/>
      <w:marLeft w:val="0"/>
      <w:marRight w:val="0"/>
      <w:marTop w:val="0"/>
      <w:marBottom w:val="0"/>
      <w:divBdr>
        <w:top w:val="none" w:sz="0" w:space="0" w:color="auto"/>
        <w:left w:val="none" w:sz="0" w:space="0" w:color="auto"/>
        <w:bottom w:val="none" w:sz="0" w:space="0" w:color="auto"/>
        <w:right w:val="none" w:sz="0" w:space="0" w:color="auto"/>
      </w:divBdr>
    </w:div>
    <w:div w:id="907883698">
      <w:bodyDiv w:val="1"/>
      <w:marLeft w:val="0"/>
      <w:marRight w:val="0"/>
      <w:marTop w:val="0"/>
      <w:marBottom w:val="0"/>
      <w:divBdr>
        <w:top w:val="none" w:sz="0" w:space="0" w:color="auto"/>
        <w:left w:val="none" w:sz="0" w:space="0" w:color="auto"/>
        <w:bottom w:val="none" w:sz="0" w:space="0" w:color="auto"/>
        <w:right w:val="none" w:sz="0" w:space="0" w:color="auto"/>
      </w:divBdr>
    </w:div>
    <w:div w:id="1048459001">
      <w:bodyDiv w:val="1"/>
      <w:marLeft w:val="0"/>
      <w:marRight w:val="0"/>
      <w:marTop w:val="0"/>
      <w:marBottom w:val="0"/>
      <w:divBdr>
        <w:top w:val="none" w:sz="0" w:space="0" w:color="auto"/>
        <w:left w:val="none" w:sz="0" w:space="0" w:color="auto"/>
        <w:bottom w:val="none" w:sz="0" w:space="0" w:color="auto"/>
        <w:right w:val="none" w:sz="0" w:space="0" w:color="auto"/>
      </w:divBdr>
    </w:div>
    <w:div w:id="1068726358">
      <w:bodyDiv w:val="1"/>
      <w:marLeft w:val="0"/>
      <w:marRight w:val="0"/>
      <w:marTop w:val="0"/>
      <w:marBottom w:val="0"/>
      <w:divBdr>
        <w:top w:val="none" w:sz="0" w:space="0" w:color="auto"/>
        <w:left w:val="none" w:sz="0" w:space="0" w:color="auto"/>
        <w:bottom w:val="none" w:sz="0" w:space="0" w:color="auto"/>
        <w:right w:val="none" w:sz="0" w:space="0" w:color="auto"/>
      </w:divBdr>
    </w:div>
    <w:div w:id="1174951603">
      <w:bodyDiv w:val="1"/>
      <w:marLeft w:val="0"/>
      <w:marRight w:val="0"/>
      <w:marTop w:val="0"/>
      <w:marBottom w:val="0"/>
      <w:divBdr>
        <w:top w:val="none" w:sz="0" w:space="0" w:color="auto"/>
        <w:left w:val="none" w:sz="0" w:space="0" w:color="auto"/>
        <w:bottom w:val="none" w:sz="0" w:space="0" w:color="auto"/>
        <w:right w:val="none" w:sz="0" w:space="0" w:color="auto"/>
      </w:divBdr>
    </w:div>
    <w:div w:id="1224026851">
      <w:bodyDiv w:val="1"/>
      <w:marLeft w:val="0"/>
      <w:marRight w:val="0"/>
      <w:marTop w:val="0"/>
      <w:marBottom w:val="0"/>
      <w:divBdr>
        <w:top w:val="none" w:sz="0" w:space="0" w:color="auto"/>
        <w:left w:val="none" w:sz="0" w:space="0" w:color="auto"/>
        <w:bottom w:val="none" w:sz="0" w:space="0" w:color="auto"/>
        <w:right w:val="none" w:sz="0" w:space="0" w:color="auto"/>
      </w:divBdr>
    </w:div>
    <w:div w:id="1263802167">
      <w:bodyDiv w:val="1"/>
      <w:marLeft w:val="0"/>
      <w:marRight w:val="0"/>
      <w:marTop w:val="0"/>
      <w:marBottom w:val="0"/>
      <w:divBdr>
        <w:top w:val="none" w:sz="0" w:space="0" w:color="auto"/>
        <w:left w:val="none" w:sz="0" w:space="0" w:color="auto"/>
        <w:bottom w:val="none" w:sz="0" w:space="0" w:color="auto"/>
        <w:right w:val="none" w:sz="0" w:space="0" w:color="auto"/>
      </w:divBdr>
    </w:div>
    <w:div w:id="1394544168">
      <w:bodyDiv w:val="1"/>
      <w:marLeft w:val="0"/>
      <w:marRight w:val="0"/>
      <w:marTop w:val="0"/>
      <w:marBottom w:val="0"/>
      <w:divBdr>
        <w:top w:val="none" w:sz="0" w:space="0" w:color="auto"/>
        <w:left w:val="none" w:sz="0" w:space="0" w:color="auto"/>
        <w:bottom w:val="none" w:sz="0" w:space="0" w:color="auto"/>
        <w:right w:val="none" w:sz="0" w:space="0" w:color="auto"/>
      </w:divBdr>
    </w:div>
    <w:div w:id="1408531920">
      <w:bodyDiv w:val="1"/>
      <w:marLeft w:val="0"/>
      <w:marRight w:val="0"/>
      <w:marTop w:val="0"/>
      <w:marBottom w:val="0"/>
      <w:divBdr>
        <w:top w:val="none" w:sz="0" w:space="0" w:color="auto"/>
        <w:left w:val="none" w:sz="0" w:space="0" w:color="auto"/>
        <w:bottom w:val="none" w:sz="0" w:space="0" w:color="auto"/>
        <w:right w:val="none" w:sz="0" w:space="0" w:color="auto"/>
      </w:divBdr>
    </w:div>
    <w:div w:id="1440561802">
      <w:bodyDiv w:val="1"/>
      <w:marLeft w:val="0"/>
      <w:marRight w:val="0"/>
      <w:marTop w:val="0"/>
      <w:marBottom w:val="0"/>
      <w:divBdr>
        <w:top w:val="none" w:sz="0" w:space="0" w:color="auto"/>
        <w:left w:val="none" w:sz="0" w:space="0" w:color="auto"/>
        <w:bottom w:val="none" w:sz="0" w:space="0" w:color="auto"/>
        <w:right w:val="none" w:sz="0" w:space="0" w:color="auto"/>
      </w:divBdr>
    </w:div>
    <w:div w:id="1458179917">
      <w:bodyDiv w:val="1"/>
      <w:marLeft w:val="0"/>
      <w:marRight w:val="0"/>
      <w:marTop w:val="0"/>
      <w:marBottom w:val="0"/>
      <w:divBdr>
        <w:top w:val="none" w:sz="0" w:space="0" w:color="auto"/>
        <w:left w:val="none" w:sz="0" w:space="0" w:color="auto"/>
        <w:bottom w:val="none" w:sz="0" w:space="0" w:color="auto"/>
        <w:right w:val="none" w:sz="0" w:space="0" w:color="auto"/>
      </w:divBdr>
    </w:div>
    <w:div w:id="1510486244">
      <w:bodyDiv w:val="1"/>
      <w:marLeft w:val="0"/>
      <w:marRight w:val="0"/>
      <w:marTop w:val="0"/>
      <w:marBottom w:val="0"/>
      <w:divBdr>
        <w:top w:val="none" w:sz="0" w:space="0" w:color="auto"/>
        <w:left w:val="none" w:sz="0" w:space="0" w:color="auto"/>
        <w:bottom w:val="none" w:sz="0" w:space="0" w:color="auto"/>
        <w:right w:val="none" w:sz="0" w:space="0" w:color="auto"/>
      </w:divBdr>
    </w:div>
    <w:div w:id="1566141426">
      <w:bodyDiv w:val="1"/>
      <w:marLeft w:val="0"/>
      <w:marRight w:val="0"/>
      <w:marTop w:val="0"/>
      <w:marBottom w:val="0"/>
      <w:divBdr>
        <w:top w:val="none" w:sz="0" w:space="0" w:color="auto"/>
        <w:left w:val="none" w:sz="0" w:space="0" w:color="auto"/>
        <w:bottom w:val="none" w:sz="0" w:space="0" w:color="auto"/>
        <w:right w:val="none" w:sz="0" w:space="0" w:color="auto"/>
      </w:divBdr>
    </w:div>
    <w:div w:id="1580944474">
      <w:bodyDiv w:val="1"/>
      <w:marLeft w:val="0"/>
      <w:marRight w:val="0"/>
      <w:marTop w:val="0"/>
      <w:marBottom w:val="0"/>
      <w:divBdr>
        <w:top w:val="none" w:sz="0" w:space="0" w:color="auto"/>
        <w:left w:val="none" w:sz="0" w:space="0" w:color="auto"/>
        <w:bottom w:val="none" w:sz="0" w:space="0" w:color="auto"/>
        <w:right w:val="none" w:sz="0" w:space="0" w:color="auto"/>
      </w:divBdr>
    </w:div>
    <w:div w:id="1696231754">
      <w:bodyDiv w:val="1"/>
      <w:marLeft w:val="0"/>
      <w:marRight w:val="0"/>
      <w:marTop w:val="0"/>
      <w:marBottom w:val="0"/>
      <w:divBdr>
        <w:top w:val="none" w:sz="0" w:space="0" w:color="auto"/>
        <w:left w:val="none" w:sz="0" w:space="0" w:color="auto"/>
        <w:bottom w:val="none" w:sz="0" w:space="0" w:color="auto"/>
        <w:right w:val="none" w:sz="0" w:space="0" w:color="auto"/>
      </w:divBdr>
    </w:div>
    <w:div w:id="1702047177">
      <w:bodyDiv w:val="1"/>
      <w:marLeft w:val="0"/>
      <w:marRight w:val="0"/>
      <w:marTop w:val="0"/>
      <w:marBottom w:val="0"/>
      <w:divBdr>
        <w:top w:val="none" w:sz="0" w:space="0" w:color="auto"/>
        <w:left w:val="none" w:sz="0" w:space="0" w:color="auto"/>
        <w:bottom w:val="none" w:sz="0" w:space="0" w:color="auto"/>
        <w:right w:val="none" w:sz="0" w:space="0" w:color="auto"/>
      </w:divBdr>
    </w:div>
    <w:div w:id="1710377464">
      <w:bodyDiv w:val="1"/>
      <w:marLeft w:val="0"/>
      <w:marRight w:val="0"/>
      <w:marTop w:val="0"/>
      <w:marBottom w:val="0"/>
      <w:divBdr>
        <w:top w:val="none" w:sz="0" w:space="0" w:color="auto"/>
        <w:left w:val="none" w:sz="0" w:space="0" w:color="auto"/>
        <w:bottom w:val="none" w:sz="0" w:space="0" w:color="auto"/>
        <w:right w:val="none" w:sz="0" w:space="0" w:color="auto"/>
      </w:divBdr>
    </w:div>
    <w:div w:id="1731418693">
      <w:bodyDiv w:val="1"/>
      <w:marLeft w:val="0"/>
      <w:marRight w:val="0"/>
      <w:marTop w:val="0"/>
      <w:marBottom w:val="0"/>
      <w:divBdr>
        <w:top w:val="none" w:sz="0" w:space="0" w:color="auto"/>
        <w:left w:val="none" w:sz="0" w:space="0" w:color="auto"/>
        <w:bottom w:val="none" w:sz="0" w:space="0" w:color="auto"/>
        <w:right w:val="none" w:sz="0" w:space="0" w:color="auto"/>
      </w:divBdr>
    </w:div>
    <w:div w:id="1740054831">
      <w:bodyDiv w:val="1"/>
      <w:marLeft w:val="0"/>
      <w:marRight w:val="0"/>
      <w:marTop w:val="0"/>
      <w:marBottom w:val="0"/>
      <w:divBdr>
        <w:top w:val="none" w:sz="0" w:space="0" w:color="auto"/>
        <w:left w:val="none" w:sz="0" w:space="0" w:color="auto"/>
        <w:bottom w:val="none" w:sz="0" w:space="0" w:color="auto"/>
        <w:right w:val="none" w:sz="0" w:space="0" w:color="auto"/>
      </w:divBdr>
    </w:div>
    <w:div w:id="1794400131">
      <w:bodyDiv w:val="1"/>
      <w:marLeft w:val="0"/>
      <w:marRight w:val="0"/>
      <w:marTop w:val="0"/>
      <w:marBottom w:val="0"/>
      <w:divBdr>
        <w:top w:val="none" w:sz="0" w:space="0" w:color="auto"/>
        <w:left w:val="none" w:sz="0" w:space="0" w:color="auto"/>
        <w:bottom w:val="none" w:sz="0" w:space="0" w:color="auto"/>
        <w:right w:val="none" w:sz="0" w:space="0" w:color="auto"/>
      </w:divBdr>
    </w:div>
    <w:div w:id="1904949662">
      <w:bodyDiv w:val="1"/>
      <w:marLeft w:val="0"/>
      <w:marRight w:val="0"/>
      <w:marTop w:val="0"/>
      <w:marBottom w:val="0"/>
      <w:divBdr>
        <w:top w:val="none" w:sz="0" w:space="0" w:color="auto"/>
        <w:left w:val="none" w:sz="0" w:space="0" w:color="auto"/>
        <w:bottom w:val="none" w:sz="0" w:space="0" w:color="auto"/>
        <w:right w:val="none" w:sz="0" w:space="0" w:color="auto"/>
      </w:divBdr>
    </w:div>
    <w:div w:id="1958830508">
      <w:bodyDiv w:val="1"/>
      <w:marLeft w:val="0"/>
      <w:marRight w:val="0"/>
      <w:marTop w:val="0"/>
      <w:marBottom w:val="0"/>
      <w:divBdr>
        <w:top w:val="none" w:sz="0" w:space="0" w:color="auto"/>
        <w:left w:val="none" w:sz="0" w:space="0" w:color="auto"/>
        <w:bottom w:val="none" w:sz="0" w:space="0" w:color="auto"/>
        <w:right w:val="none" w:sz="0" w:space="0" w:color="auto"/>
      </w:divBdr>
    </w:div>
    <w:div w:id="1962376766">
      <w:bodyDiv w:val="1"/>
      <w:marLeft w:val="0"/>
      <w:marRight w:val="0"/>
      <w:marTop w:val="0"/>
      <w:marBottom w:val="0"/>
      <w:divBdr>
        <w:top w:val="none" w:sz="0" w:space="0" w:color="auto"/>
        <w:left w:val="none" w:sz="0" w:space="0" w:color="auto"/>
        <w:bottom w:val="none" w:sz="0" w:space="0" w:color="auto"/>
        <w:right w:val="none" w:sz="0" w:space="0" w:color="auto"/>
      </w:divBdr>
    </w:div>
    <w:div w:id="2044673488">
      <w:bodyDiv w:val="1"/>
      <w:marLeft w:val="0"/>
      <w:marRight w:val="0"/>
      <w:marTop w:val="0"/>
      <w:marBottom w:val="0"/>
      <w:divBdr>
        <w:top w:val="none" w:sz="0" w:space="0" w:color="auto"/>
        <w:left w:val="none" w:sz="0" w:space="0" w:color="auto"/>
        <w:bottom w:val="none" w:sz="0" w:space="0" w:color="auto"/>
        <w:right w:val="none" w:sz="0" w:space="0" w:color="auto"/>
      </w:divBdr>
    </w:div>
    <w:div w:id="207022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947F-A0D5-46CB-BC1D-21EA7073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13</Pages>
  <Words>3288</Words>
  <Characters>18087</Characters>
  <Application>Microsoft Office Word</Application>
  <DocSecurity>0</DocSecurity>
  <Lines>753</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Zabalza Marti, Antoni</dc:creator>
  <cp:keywords/>
  <dc:description/>
  <cp:lastModifiedBy>Comella Pons, Imma</cp:lastModifiedBy>
  <cp:revision>591</cp:revision>
  <cp:lastPrinted>2026-02-20T14:00:00Z</cp:lastPrinted>
  <dcterms:created xsi:type="dcterms:W3CDTF">2025-10-30T09:57:00Z</dcterms:created>
  <dcterms:modified xsi:type="dcterms:W3CDTF">2026-02-26T10:05:00Z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70948f-438b-43ed-9962-2d1122c6e94c_Enabled">
    <vt:lpwstr>true</vt:lpwstr>
  </property>
  <property fmtid="{D5CDD505-2E9C-101B-9397-08002B2CF9AE}" pid="3" name="MSIP_Label_0270948f-438b-43ed-9962-2d1122c6e94c_SetDate">
    <vt:lpwstr>2025-04-23T11:02:43Z</vt:lpwstr>
  </property>
  <property fmtid="{D5CDD505-2E9C-101B-9397-08002B2CF9AE}" pid="4" name="MSIP_Label_0270948f-438b-43ed-9962-2d1122c6e94c_Method">
    <vt:lpwstr>Privileged</vt:lpwstr>
  </property>
  <property fmtid="{D5CDD505-2E9C-101B-9397-08002B2CF9AE}" pid="5" name="MSIP_Label_0270948f-438b-43ed-9962-2d1122c6e94c_Name">
    <vt:lpwstr>Documento entre partes</vt:lpwstr>
  </property>
  <property fmtid="{D5CDD505-2E9C-101B-9397-08002B2CF9AE}" pid="6" name="MSIP_Label_0270948f-438b-43ed-9962-2d1122c6e94c_SiteId">
    <vt:lpwstr>1c713d36-fc59-4891-a05a-a1a421ff12b7</vt:lpwstr>
  </property>
  <property fmtid="{D5CDD505-2E9C-101B-9397-08002B2CF9AE}" pid="7" name="MSIP_Label_0270948f-438b-43ed-9962-2d1122c6e94c_ActionId">
    <vt:lpwstr>90a1f5ab-d25f-4d36-a96b-9c73cf5ac18f</vt:lpwstr>
  </property>
  <property fmtid="{D5CDD505-2E9C-101B-9397-08002B2CF9AE}" pid="8" name="MSIP_Label_0270948f-438b-43ed-9962-2d1122c6e94c_ContentBits">
    <vt:lpwstr>0</vt:lpwstr>
  </property>
  <property fmtid="{D5CDD505-2E9C-101B-9397-08002B2CF9AE}" pid="9" name="MSIP_Label_0270948f-438b-43ed-9962-2d1122c6e94c_Tag">
    <vt:lpwstr>10, 0, 1, 1</vt:lpwstr>
  </property>
</Properties>
</file>